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F158F" w14:textId="7729EFF0" w:rsidR="00E85096" w:rsidRPr="002C2CC0" w:rsidRDefault="00447440" w:rsidP="003E2BAC">
      <w:pPr>
        <w:spacing w:before="240"/>
        <w:jc w:val="center"/>
        <w:rPr>
          <w:rFonts w:ascii="Arial" w:hAnsi="Arial" w:cs="Arial"/>
          <w:b/>
          <w:sz w:val="48"/>
          <w:szCs w:val="48"/>
        </w:rPr>
      </w:pPr>
      <w:r w:rsidRPr="002C2CC0">
        <w:rPr>
          <w:rFonts w:ascii="Arial" w:hAnsi="Arial" w:cs="Arial"/>
          <w:b/>
          <w:sz w:val="48"/>
          <w:szCs w:val="48"/>
        </w:rPr>
        <w:t>Confidentiality Code of Practice</w:t>
      </w:r>
      <w:r w:rsidR="004B24D9" w:rsidRPr="002C2CC0">
        <w:rPr>
          <w:rFonts w:ascii="Arial" w:hAnsi="Arial" w:cs="Arial"/>
          <w:b/>
          <w:sz w:val="48"/>
          <w:szCs w:val="48"/>
        </w:rPr>
        <w:t xml:space="preserve"> </w:t>
      </w:r>
      <w:r w:rsidR="0097074D" w:rsidRPr="002C2CC0">
        <w:rPr>
          <w:rFonts w:ascii="Arial" w:hAnsi="Arial" w:cs="Arial"/>
          <w:b/>
          <w:sz w:val="48"/>
          <w:szCs w:val="48"/>
        </w:rPr>
        <w:t>Policy</w:t>
      </w:r>
      <w:r w:rsidR="00485A3C" w:rsidRPr="002C2CC0">
        <w:rPr>
          <w:rFonts w:ascii="Arial" w:hAnsi="Arial" w:cs="Arial"/>
          <w:b/>
          <w:sz w:val="48"/>
          <w:szCs w:val="48"/>
        </w:rPr>
        <w:t xml:space="preserve"> </w:t>
      </w:r>
    </w:p>
    <w:p w14:paraId="172E9C97" w14:textId="77777777" w:rsidR="003E2BAC" w:rsidRPr="002C2CC0" w:rsidRDefault="003E2BAC" w:rsidP="0097074D">
      <w:pPr>
        <w:jc w:val="center"/>
        <w:rPr>
          <w:rFonts w:ascii="Arial" w:hAnsi="Arial" w:cs="Arial"/>
          <w:b/>
          <w:sz w:val="22"/>
          <w:szCs w:val="22"/>
        </w:rPr>
      </w:pPr>
    </w:p>
    <w:tbl>
      <w:tblPr>
        <w:tblStyle w:val="TableGrid"/>
        <w:tblW w:w="0" w:type="auto"/>
        <w:tblLook w:val="04A0" w:firstRow="1" w:lastRow="0" w:firstColumn="1" w:lastColumn="0" w:noHBand="0" w:noVBand="1"/>
      </w:tblPr>
      <w:tblGrid>
        <w:gridCol w:w="2252"/>
        <w:gridCol w:w="2252"/>
        <w:gridCol w:w="2253"/>
        <w:gridCol w:w="2253"/>
      </w:tblGrid>
      <w:tr w:rsidR="003E2BAC" w:rsidRPr="002C2CC0" w14:paraId="08AF86EC" w14:textId="77777777" w:rsidTr="003E2BAC">
        <w:tc>
          <w:tcPr>
            <w:tcW w:w="2252" w:type="dxa"/>
            <w:shd w:val="clear" w:color="auto" w:fill="4472C4" w:themeFill="accent1"/>
          </w:tcPr>
          <w:p w14:paraId="01C8482E" w14:textId="7860434C" w:rsidR="003E2BAC" w:rsidRPr="002C2CC0" w:rsidRDefault="003E2BAC" w:rsidP="003E2BAC">
            <w:pPr>
              <w:snapToGrid w:val="0"/>
              <w:spacing w:before="60" w:after="60"/>
              <w:jc w:val="center"/>
              <w:rPr>
                <w:rFonts w:ascii="Arial" w:hAnsi="Arial" w:cs="Arial"/>
                <w:b/>
                <w:color w:val="FFFFFF" w:themeColor="background1"/>
                <w:sz w:val="22"/>
                <w:szCs w:val="22"/>
              </w:rPr>
            </w:pPr>
            <w:r w:rsidRPr="002C2CC0">
              <w:rPr>
                <w:rFonts w:ascii="Arial" w:hAnsi="Arial" w:cs="Arial"/>
                <w:b/>
                <w:color w:val="FFFFFF" w:themeColor="background1"/>
                <w:sz w:val="22"/>
                <w:szCs w:val="22"/>
              </w:rPr>
              <w:t>Version</w:t>
            </w:r>
          </w:p>
        </w:tc>
        <w:tc>
          <w:tcPr>
            <w:tcW w:w="2252" w:type="dxa"/>
            <w:shd w:val="clear" w:color="auto" w:fill="4472C4" w:themeFill="accent1"/>
          </w:tcPr>
          <w:p w14:paraId="7B85BB17" w14:textId="215A9864" w:rsidR="003E2BAC" w:rsidRPr="002C2CC0" w:rsidRDefault="003E2BAC" w:rsidP="003E2BAC">
            <w:pPr>
              <w:snapToGrid w:val="0"/>
              <w:spacing w:before="60" w:after="60"/>
              <w:jc w:val="center"/>
              <w:rPr>
                <w:rFonts w:ascii="Arial" w:hAnsi="Arial" w:cs="Arial"/>
                <w:b/>
                <w:color w:val="FFFFFF" w:themeColor="background1"/>
                <w:sz w:val="22"/>
                <w:szCs w:val="22"/>
              </w:rPr>
            </w:pPr>
            <w:r w:rsidRPr="002C2CC0">
              <w:rPr>
                <w:rFonts w:ascii="Arial" w:hAnsi="Arial" w:cs="Arial"/>
                <w:b/>
                <w:color w:val="FFFFFF" w:themeColor="background1"/>
                <w:sz w:val="22"/>
                <w:szCs w:val="22"/>
              </w:rPr>
              <w:t>Edited by</w:t>
            </w:r>
          </w:p>
        </w:tc>
        <w:tc>
          <w:tcPr>
            <w:tcW w:w="2253" w:type="dxa"/>
            <w:shd w:val="clear" w:color="auto" w:fill="4472C4" w:themeFill="accent1"/>
          </w:tcPr>
          <w:p w14:paraId="54674BE8" w14:textId="4F771467" w:rsidR="003E2BAC" w:rsidRPr="002C2CC0" w:rsidRDefault="003E2BAC" w:rsidP="003E2BAC">
            <w:pPr>
              <w:snapToGrid w:val="0"/>
              <w:spacing w:before="60" w:after="60"/>
              <w:jc w:val="center"/>
              <w:rPr>
                <w:rFonts w:ascii="Arial" w:hAnsi="Arial" w:cs="Arial"/>
                <w:b/>
                <w:color w:val="FFFFFF" w:themeColor="background1"/>
                <w:sz w:val="22"/>
                <w:szCs w:val="22"/>
              </w:rPr>
            </w:pPr>
            <w:r w:rsidRPr="002C2CC0">
              <w:rPr>
                <w:rFonts w:ascii="Arial" w:hAnsi="Arial" w:cs="Arial"/>
                <w:b/>
                <w:color w:val="FFFFFF" w:themeColor="background1"/>
                <w:sz w:val="22"/>
                <w:szCs w:val="22"/>
              </w:rPr>
              <w:t>Date issued</w:t>
            </w:r>
          </w:p>
        </w:tc>
        <w:tc>
          <w:tcPr>
            <w:tcW w:w="2253" w:type="dxa"/>
            <w:shd w:val="clear" w:color="auto" w:fill="4472C4" w:themeFill="accent1"/>
          </w:tcPr>
          <w:p w14:paraId="19D7D914" w14:textId="70067C44" w:rsidR="003E2BAC" w:rsidRPr="002C2CC0" w:rsidRDefault="003E2BAC" w:rsidP="003E2BAC">
            <w:pPr>
              <w:snapToGrid w:val="0"/>
              <w:spacing w:before="60" w:after="60"/>
              <w:jc w:val="center"/>
              <w:rPr>
                <w:rFonts w:ascii="Arial" w:hAnsi="Arial" w:cs="Arial"/>
                <w:b/>
                <w:color w:val="FFFFFF" w:themeColor="background1"/>
                <w:sz w:val="22"/>
                <w:szCs w:val="22"/>
              </w:rPr>
            </w:pPr>
            <w:r w:rsidRPr="002C2CC0">
              <w:rPr>
                <w:rFonts w:ascii="Arial" w:hAnsi="Arial" w:cs="Arial"/>
                <w:b/>
                <w:color w:val="FFFFFF" w:themeColor="background1"/>
                <w:sz w:val="22"/>
                <w:szCs w:val="22"/>
              </w:rPr>
              <w:t>Next review date</w:t>
            </w:r>
          </w:p>
        </w:tc>
      </w:tr>
      <w:tr w:rsidR="003E2BAC" w:rsidRPr="002C2CC0" w14:paraId="344E27CE" w14:textId="77777777" w:rsidTr="003E2BAC">
        <w:tc>
          <w:tcPr>
            <w:tcW w:w="2252" w:type="dxa"/>
          </w:tcPr>
          <w:p w14:paraId="50D7B71E" w14:textId="4FBCF555" w:rsidR="003E2BAC" w:rsidRPr="0058781F" w:rsidRDefault="0058781F" w:rsidP="00AB58D2">
            <w:pPr>
              <w:spacing w:before="60" w:after="60"/>
              <w:jc w:val="center"/>
              <w:rPr>
                <w:rFonts w:ascii="Arial" w:hAnsi="Arial" w:cs="Arial"/>
                <w:bCs/>
                <w:sz w:val="22"/>
                <w:szCs w:val="22"/>
              </w:rPr>
            </w:pPr>
            <w:r w:rsidRPr="0058781F">
              <w:rPr>
                <w:rFonts w:ascii="Arial" w:hAnsi="Arial" w:cs="Arial"/>
                <w:bCs/>
                <w:sz w:val="22"/>
                <w:szCs w:val="22"/>
              </w:rPr>
              <w:t>1.2</w:t>
            </w:r>
          </w:p>
        </w:tc>
        <w:tc>
          <w:tcPr>
            <w:tcW w:w="2252" w:type="dxa"/>
          </w:tcPr>
          <w:p w14:paraId="7E98DA41" w14:textId="05B0BB59" w:rsidR="003E2BAC" w:rsidRPr="0058781F" w:rsidRDefault="0058781F" w:rsidP="0097074D">
            <w:pPr>
              <w:jc w:val="center"/>
              <w:rPr>
                <w:rFonts w:ascii="Arial" w:hAnsi="Arial" w:cs="Arial"/>
                <w:bCs/>
                <w:sz w:val="22"/>
                <w:szCs w:val="22"/>
              </w:rPr>
            </w:pPr>
            <w:r w:rsidRPr="0058781F">
              <w:rPr>
                <w:rFonts w:ascii="Arial" w:hAnsi="Arial" w:cs="Arial"/>
                <w:bCs/>
                <w:sz w:val="22"/>
                <w:szCs w:val="22"/>
              </w:rPr>
              <w:t>NEW – Jill Ponder</w:t>
            </w:r>
          </w:p>
        </w:tc>
        <w:tc>
          <w:tcPr>
            <w:tcW w:w="2253" w:type="dxa"/>
          </w:tcPr>
          <w:p w14:paraId="48F9E015" w14:textId="4BE85F91" w:rsidR="003E2BAC" w:rsidRPr="0058781F" w:rsidRDefault="0058781F" w:rsidP="0097074D">
            <w:pPr>
              <w:jc w:val="center"/>
              <w:rPr>
                <w:rFonts w:ascii="Arial" w:hAnsi="Arial" w:cs="Arial"/>
                <w:bCs/>
                <w:sz w:val="22"/>
                <w:szCs w:val="22"/>
              </w:rPr>
            </w:pPr>
            <w:r w:rsidRPr="0058781F">
              <w:rPr>
                <w:rFonts w:ascii="Arial" w:hAnsi="Arial" w:cs="Arial"/>
                <w:bCs/>
                <w:sz w:val="22"/>
                <w:szCs w:val="22"/>
              </w:rPr>
              <w:t>24.04.2025</w:t>
            </w:r>
          </w:p>
        </w:tc>
        <w:tc>
          <w:tcPr>
            <w:tcW w:w="2253" w:type="dxa"/>
          </w:tcPr>
          <w:p w14:paraId="351651D5" w14:textId="7F76480F" w:rsidR="003E2BAC" w:rsidRPr="0058781F" w:rsidRDefault="0058781F" w:rsidP="0097074D">
            <w:pPr>
              <w:jc w:val="center"/>
              <w:rPr>
                <w:rFonts w:ascii="Arial" w:hAnsi="Arial" w:cs="Arial"/>
                <w:bCs/>
                <w:sz w:val="22"/>
                <w:szCs w:val="22"/>
              </w:rPr>
            </w:pPr>
            <w:r w:rsidRPr="0058781F">
              <w:rPr>
                <w:rFonts w:ascii="Arial" w:hAnsi="Arial" w:cs="Arial"/>
                <w:bCs/>
                <w:sz w:val="22"/>
                <w:szCs w:val="22"/>
              </w:rPr>
              <w:t>25.04.2027</w:t>
            </w:r>
          </w:p>
        </w:tc>
      </w:tr>
    </w:tbl>
    <w:p w14:paraId="1C111DC8" w14:textId="77777777" w:rsidR="0097074D" w:rsidRPr="002C2CC0" w:rsidRDefault="0097074D" w:rsidP="0097074D">
      <w:pPr>
        <w:jc w:val="center"/>
        <w:rPr>
          <w:rFonts w:ascii="Arial" w:hAnsi="Arial" w:cs="Arial"/>
          <w:b/>
          <w:sz w:val="22"/>
          <w:szCs w:val="22"/>
        </w:rPr>
      </w:pPr>
    </w:p>
    <w:tbl>
      <w:tblPr>
        <w:tblStyle w:val="TableGrid"/>
        <w:tblW w:w="0" w:type="auto"/>
        <w:tblLook w:val="04A0" w:firstRow="1" w:lastRow="0" w:firstColumn="1" w:lastColumn="0" w:noHBand="0" w:noVBand="1"/>
      </w:tblPr>
      <w:tblGrid>
        <w:gridCol w:w="4505"/>
        <w:gridCol w:w="4505"/>
      </w:tblGrid>
      <w:tr w:rsidR="003E2BAC" w:rsidRPr="002C2CC0" w14:paraId="0803A2D1" w14:textId="77777777" w:rsidTr="003E2BAC">
        <w:tc>
          <w:tcPr>
            <w:tcW w:w="4505" w:type="dxa"/>
            <w:shd w:val="clear" w:color="auto" w:fill="4472C4" w:themeFill="accent1"/>
          </w:tcPr>
          <w:p w14:paraId="592FB876" w14:textId="7CF2C7A1" w:rsidR="003E2BAC" w:rsidRPr="002C2CC0" w:rsidRDefault="003E2BAC" w:rsidP="003E2BAC">
            <w:pPr>
              <w:snapToGrid w:val="0"/>
              <w:spacing w:before="60" w:after="60"/>
              <w:rPr>
                <w:rFonts w:ascii="Arial" w:hAnsi="Arial" w:cs="Arial"/>
                <w:b/>
                <w:color w:val="FFFFFF" w:themeColor="background1"/>
                <w:sz w:val="22"/>
                <w:szCs w:val="22"/>
              </w:rPr>
            </w:pPr>
            <w:r w:rsidRPr="002C2CC0">
              <w:rPr>
                <w:rFonts w:ascii="Arial" w:hAnsi="Arial" w:cs="Arial"/>
                <w:b/>
                <w:color w:val="FFFFFF" w:themeColor="background1"/>
                <w:sz w:val="22"/>
                <w:szCs w:val="22"/>
              </w:rPr>
              <w:t>Position</w:t>
            </w:r>
          </w:p>
        </w:tc>
        <w:tc>
          <w:tcPr>
            <w:tcW w:w="4505" w:type="dxa"/>
            <w:shd w:val="clear" w:color="auto" w:fill="4472C4" w:themeFill="accent1"/>
          </w:tcPr>
          <w:p w14:paraId="16C4692D" w14:textId="2EDD74CE" w:rsidR="003E2BAC" w:rsidRPr="002C2CC0" w:rsidRDefault="003E2BAC" w:rsidP="003E2BAC">
            <w:pPr>
              <w:snapToGrid w:val="0"/>
              <w:spacing w:before="60" w:after="60"/>
              <w:rPr>
                <w:rFonts w:ascii="Arial" w:hAnsi="Arial" w:cs="Arial"/>
                <w:b/>
                <w:color w:val="FFFFFF" w:themeColor="background1"/>
                <w:sz w:val="22"/>
                <w:szCs w:val="22"/>
              </w:rPr>
            </w:pPr>
            <w:r w:rsidRPr="002C2CC0">
              <w:rPr>
                <w:rFonts w:ascii="Arial" w:hAnsi="Arial" w:cs="Arial"/>
                <w:b/>
                <w:color w:val="FFFFFF" w:themeColor="background1"/>
                <w:sz w:val="22"/>
                <w:szCs w:val="22"/>
              </w:rPr>
              <w:t>Named individual</w:t>
            </w:r>
          </w:p>
        </w:tc>
      </w:tr>
      <w:tr w:rsidR="003E2BAC" w:rsidRPr="002C2CC0" w14:paraId="0FAF262B" w14:textId="77777777" w:rsidTr="003E2BAC">
        <w:tc>
          <w:tcPr>
            <w:tcW w:w="4505" w:type="dxa"/>
          </w:tcPr>
          <w:p w14:paraId="0E89D9A3" w14:textId="3209521E" w:rsidR="003E2BAC" w:rsidRPr="002C2CC0" w:rsidRDefault="00E956D9" w:rsidP="003E2BAC">
            <w:pPr>
              <w:snapToGrid w:val="0"/>
              <w:spacing w:before="60" w:after="60"/>
              <w:rPr>
                <w:rFonts w:ascii="Arial" w:hAnsi="Arial" w:cs="Arial"/>
                <w:sz w:val="22"/>
                <w:szCs w:val="22"/>
              </w:rPr>
            </w:pPr>
            <w:r w:rsidRPr="002C2CC0">
              <w:rPr>
                <w:rFonts w:ascii="Arial" w:hAnsi="Arial" w:cs="Arial"/>
                <w:sz w:val="22"/>
                <w:szCs w:val="22"/>
              </w:rPr>
              <w:t>Caldicott Guardian</w:t>
            </w:r>
          </w:p>
        </w:tc>
        <w:tc>
          <w:tcPr>
            <w:tcW w:w="4505" w:type="dxa"/>
          </w:tcPr>
          <w:p w14:paraId="596EEE0C" w14:textId="1D70FE80" w:rsidR="003E2BAC" w:rsidRPr="002C2CC0" w:rsidRDefault="0058781F" w:rsidP="003E2BAC">
            <w:pPr>
              <w:snapToGrid w:val="0"/>
              <w:spacing w:before="60" w:after="60"/>
              <w:rPr>
                <w:rFonts w:ascii="Arial" w:hAnsi="Arial" w:cs="Arial"/>
                <w:sz w:val="22"/>
                <w:szCs w:val="22"/>
              </w:rPr>
            </w:pPr>
            <w:r>
              <w:rPr>
                <w:rFonts w:ascii="Arial" w:hAnsi="Arial" w:cs="Arial"/>
                <w:sz w:val="22"/>
                <w:szCs w:val="22"/>
              </w:rPr>
              <w:t>Dr Mike Shepherd</w:t>
            </w:r>
          </w:p>
        </w:tc>
      </w:tr>
      <w:tr w:rsidR="00E956D9" w:rsidRPr="002C2CC0" w14:paraId="7B4B3155" w14:textId="77777777" w:rsidTr="003E2BAC">
        <w:tc>
          <w:tcPr>
            <w:tcW w:w="4505" w:type="dxa"/>
          </w:tcPr>
          <w:p w14:paraId="1C8F8187" w14:textId="0F91C441" w:rsidR="00E956D9" w:rsidRPr="002C2CC0" w:rsidRDefault="00E956D9" w:rsidP="003E2BAC">
            <w:pPr>
              <w:snapToGrid w:val="0"/>
              <w:spacing w:before="60" w:after="60"/>
              <w:rPr>
                <w:rFonts w:ascii="Arial" w:hAnsi="Arial" w:cs="Arial"/>
                <w:sz w:val="22"/>
                <w:szCs w:val="22"/>
              </w:rPr>
            </w:pPr>
            <w:r w:rsidRPr="002C2CC0">
              <w:rPr>
                <w:rFonts w:ascii="Arial" w:hAnsi="Arial" w:cs="Arial"/>
                <w:sz w:val="22"/>
                <w:szCs w:val="22"/>
              </w:rPr>
              <w:t>Information Governance Lead</w:t>
            </w:r>
          </w:p>
        </w:tc>
        <w:tc>
          <w:tcPr>
            <w:tcW w:w="4505" w:type="dxa"/>
          </w:tcPr>
          <w:p w14:paraId="4868E5F8" w14:textId="4A0CCFD3" w:rsidR="00E956D9" w:rsidRPr="002C2CC0" w:rsidRDefault="0058781F" w:rsidP="003E2BAC">
            <w:pPr>
              <w:snapToGrid w:val="0"/>
              <w:spacing w:before="60" w:after="60"/>
              <w:rPr>
                <w:rFonts w:ascii="Arial" w:hAnsi="Arial" w:cs="Arial"/>
                <w:sz w:val="22"/>
                <w:szCs w:val="22"/>
              </w:rPr>
            </w:pPr>
            <w:r>
              <w:rPr>
                <w:rFonts w:ascii="Arial" w:hAnsi="Arial" w:cs="Arial"/>
                <w:sz w:val="22"/>
                <w:szCs w:val="22"/>
              </w:rPr>
              <w:t>Carolyn Liddle</w:t>
            </w:r>
          </w:p>
        </w:tc>
      </w:tr>
      <w:tr w:rsidR="002C2CC0" w:rsidRPr="002C2CC0" w14:paraId="7D572E83" w14:textId="77777777" w:rsidTr="003E2BAC">
        <w:tc>
          <w:tcPr>
            <w:tcW w:w="4505" w:type="dxa"/>
          </w:tcPr>
          <w:p w14:paraId="25BEA2DB" w14:textId="6E43C465" w:rsidR="002C2CC0" w:rsidRPr="002C2CC0" w:rsidRDefault="002C2CC0" w:rsidP="003E2BAC">
            <w:pPr>
              <w:snapToGrid w:val="0"/>
              <w:spacing w:before="60" w:after="60"/>
              <w:rPr>
                <w:rFonts w:ascii="Arial" w:hAnsi="Arial" w:cs="Arial"/>
                <w:sz w:val="22"/>
                <w:szCs w:val="22"/>
              </w:rPr>
            </w:pPr>
            <w:r w:rsidRPr="002C2CC0">
              <w:rPr>
                <w:rFonts w:ascii="Arial" w:hAnsi="Arial" w:cs="Arial"/>
                <w:sz w:val="22"/>
                <w:szCs w:val="22"/>
              </w:rPr>
              <w:t>Practice Manager</w:t>
            </w:r>
          </w:p>
        </w:tc>
        <w:tc>
          <w:tcPr>
            <w:tcW w:w="4505" w:type="dxa"/>
          </w:tcPr>
          <w:p w14:paraId="1D7A713F" w14:textId="3849E12C" w:rsidR="002C2CC0" w:rsidRPr="002C2CC0" w:rsidRDefault="0058781F" w:rsidP="003E2BAC">
            <w:pPr>
              <w:snapToGrid w:val="0"/>
              <w:spacing w:before="60" w:after="60"/>
              <w:rPr>
                <w:rFonts w:ascii="Arial" w:hAnsi="Arial" w:cs="Arial"/>
                <w:sz w:val="22"/>
                <w:szCs w:val="22"/>
              </w:rPr>
            </w:pPr>
            <w:r>
              <w:rPr>
                <w:rFonts w:ascii="Arial" w:hAnsi="Arial" w:cs="Arial"/>
                <w:sz w:val="22"/>
                <w:szCs w:val="22"/>
              </w:rPr>
              <w:t>Carolyn Liddle</w:t>
            </w:r>
          </w:p>
        </w:tc>
      </w:tr>
    </w:tbl>
    <w:p w14:paraId="256F165F" w14:textId="77777777" w:rsidR="003E2BAC" w:rsidRPr="002C2CC0" w:rsidRDefault="003E2BAC" w:rsidP="0097074D">
      <w:pPr>
        <w:jc w:val="center"/>
        <w:rPr>
          <w:rFonts w:ascii="Arial" w:hAnsi="Arial" w:cs="Arial"/>
          <w:sz w:val="28"/>
          <w:szCs w:val="28"/>
        </w:rPr>
      </w:pPr>
    </w:p>
    <w:p w14:paraId="34A22122" w14:textId="77777777" w:rsidR="00E85096" w:rsidRPr="00AB58D2" w:rsidRDefault="00E85096">
      <w:pPr>
        <w:rPr>
          <w:rFonts w:ascii="Arial" w:hAnsi="Arial" w:cs="Arial"/>
          <w:sz w:val="13"/>
          <w:szCs w:val="13"/>
        </w:rPr>
      </w:pPr>
    </w:p>
    <w:p w14:paraId="4ADDD4F7" w14:textId="125E9F1C" w:rsidR="000858D5" w:rsidRPr="002C2CC0" w:rsidRDefault="00D05574">
      <w:pPr>
        <w:rPr>
          <w:rFonts w:ascii="Arial" w:hAnsi="Arial" w:cs="Arial"/>
          <w:b/>
          <w:sz w:val="28"/>
          <w:szCs w:val="28"/>
        </w:rPr>
      </w:pPr>
      <w:r w:rsidRPr="002C2CC0">
        <w:rPr>
          <w:rFonts w:ascii="Arial" w:hAnsi="Arial" w:cs="Arial"/>
          <w:b/>
          <w:sz w:val="28"/>
          <w:szCs w:val="28"/>
        </w:rPr>
        <w:t>Table of c</w:t>
      </w:r>
      <w:r w:rsidR="000858D5" w:rsidRPr="002C2CC0">
        <w:rPr>
          <w:rFonts w:ascii="Arial" w:hAnsi="Arial" w:cs="Arial"/>
          <w:b/>
          <w:sz w:val="28"/>
          <w:szCs w:val="28"/>
        </w:rPr>
        <w:t>ontents</w:t>
      </w:r>
    </w:p>
    <w:bookmarkStart w:id="0" w:name="_Introduction"/>
    <w:bookmarkEnd w:id="0"/>
    <w:p w14:paraId="5AF59003" w14:textId="1D526A1B" w:rsidR="0061063B" w:rsidRPr="00AB58D2" w:rsidRDefault="00D85E4D" w:rsidP="00AB58D2">
      <w:pPr>
        <w:pStyle w:val="TOC1"/>
        <w:tabs>
          <w:tab w:val="clear" w:pos="8364"/>
          <w:tab w:val="right" w:pos="8931"/>
        </w:tabs>
        <w:rPr>
          <w:rFonts w:ascii="Arial" w:eastAsiaTheme="minorEastAsia" w:hAnsi="Arial" w:cstheme="minorBidi"/>
          <w:bCs w:val="0"/>
          <w:caps w:val="0"/>
          <w:noProof/>
          <w:kern w:val="2"/>
          <w14:ligatures w14:val="standardContextual"/>
        </w:rPr>
      </w:pPr>
      <w:r w:rsidRPr="002C2CC0">
        <w:rPr>
          <w:rFonts w:ascii="Arial" w:hAnsi="Arial" w:cs="Arial"/>
          <w:caps w:val="0"/>
          <w:sz w:val="20"/>
          <w:szCs w:val="28"/>
        </w:rPr>
        <w:fldChar w:fldCharType="begin"/>
      </w:r>
      <w:r w:rsidRPr="002C2CC0">
        <w:rPr>
          <w:rFonts w:ascii="Arial" w:hAnsi="Arial" w:cs="Arial"/>
          <w:caps w:val="0"/>
          <w:sz w:val="20"/>
          <w:szCs w:val="28"/>
        </w:rPr>
        <w:instrText xml:space="preserve"> TOC \o "1-3" \h \z \u </w:instrText>
      </w:r>
      <w:r w:rsidRPr="002C2CC0">
        <w:rPr>
          <w:rFonts w:ascii="Arial" w:hAnsi="Arial" w:cs="Arial"/>
          <w:caps w:val="0"/>
          <w:sz w:val="20"/>
          <w:szCs w:val="28"/>
        </w:rPr>
        <w:fldChar w:fldCharType="separate"/>
      </w:r>
      <w:hyperlink w:anchor="_Toc187231344" w:history="1">
        <w:r w:rsidR="0061063B" w:rsidRPr="00AB58D2">
          <w:rPr>
            <w:rStyle w:val="Hyperlink"/>
            <w:rFonts w:ascii="Arial" w:eastAsiaTheme="majorEastAsia" w:hAnsi="Arial"/>
            <w:caps w:val="0"/>
            <w:noProof/>
          </w:rPr>
          <w:t>1</w:t>
        </w:r>
        <w:r w:rsidR="0061063B" w:rsidRPr="00AB58D2">
          <w:rPr>
            <w:rFonts w:ascii="Arial" w:eastAsiaTheme="minorEastAsia" w:hAnsi="Arial" w:cstheme="minorBidi"/>
            <w:bCs w:val="0"/>
            <w:caps w:val="0"/>
            <w:noProof/>
            <w:kern w:val="2"/>
            <w14:ligatures w14:val="standardContextual"/>
          </w:rPr>
          <w:tab/>
        </w:r>
        <w:r w:rsidR="0061063B" w:rsidRPr="00AB58D2">
          <w:rPr>
            <w:rStyle w:val="Hyperlink"/>
            <w:rFonts w:ascii="Arial" w:eastAsiaTheme="majorEastAsia" w:hAnsi="Arial"/>
            <w:caps w:val="0"/>
            <w:noProof/>
          </w:rPr>
          <w:t>Introduction</w:t>
        </w:r>
        <w:r w:rsidR="0061063B" w:rsidRPr="00AB58D2">
          <w:rPr>
            <w:rFonts w:ascii="Arial" w:hAnsi="Arial"/>
            <w:caps w:val="0"/>
            <w:noProof/>
            <w:webHidden/>
          </w:rPr>
          <w:tab/>
        </w:r>
        <w:r w:rsidR="0061063B" w:rsidRPr="00AB58D2">
          <w:rPr>
            <w:rFonts w:ascii="Arial" w:hAnsi="Arial"/>
            <w:caps w:val="0"/>
            <w:noProof/>
            <w:webHidden/>
          </w:rPr>
          <w:fldChar w:fldCharType="begin"/>
        </w:r>
        <w:r w:rsidR="0061063B" w:rsidRPr="00AB58D2">
          <w:rPr>
            <w:rFonts w:ascii="Arial" w:hAnsi="Arial"/>
            <w:caps w:val="0"/>
            <w:noProof/>
            <w:webHidden/>
          </w:rPr>
          <w:instrText xml:space="preserve"> PAGEREF _Toc187231344 \h </w:instrText>
        </w:r>
        <w:r w:rsidR="0061063B" w:rsidRPr="00AB58D2">
          <w:rPr>
            <w:rFonts w:ascii="Arial" w:hAnsi="Arial"/>
            <w:caps w:val="0"/>
            <w:noProof/>
            <w:webHidden/>
          </w:rPr>
        </w:r>
        <w:r w:rsidR="0061063B" w:rsidRPr="00AB58D2">
          <w:rPr>
            <w:rFonts w:ascii="Arial" w:hAnsi="Arial"/>
            <w:caps w:val="0"/>
            <w:noProof/>
            <w:webHidden/>
          </w:rPr>
          <w:fldChar w:fldCharType="separate"/>
        </w:r>
        <w:r w:rsidR="001D07EB">
          <w:rPr>
            <w:rFonts w:ascii="Arial" w:hAnsi="Arial"/>
            <w:caps w:val="0"/>
            <w:noProof/>
            <w:webHidden/>
          </w:rPr>
          <w:t>2</w:t>
        </w:r>
        <w:r w:rsidR="0061063B" w:rsidRPr="00AB58D2">
          <w:rPr>
            <w:rFonts w:ascii="Arial" w:hAnsi="Arial"/>
            <w:caps w:val="0"/>
            <w:noProof/>
            <w:webHidden/>
          </w:rPr>
          <w:fldChar w:fldCharType="end"/>
        </w:r>
      </w:hyperlink>
    </w:p>
    <w:p w14:paraId="19A2B62C" w14:textId="1C692DAE" w:rsidR="0061063B" w:rsidRPr="00AB58D2" w:rsidRDefault="0061063B" w:rsidP="00AB58D2">
      <w:pPr>
        <w:pStyle w:val="TOC2"/>
        <w:tabs>
          <w:tab w:val="clear" w:pos="8364"/>
          <w:tab w:val="right" w:pos="8931"/>
        </w:tabs>
        <w:rPr>
          <w:rFonts w:ascii="Arial" w:eastAsiaTheme="minorEastAsia" w:hAnsi="Arial" w:cstheme="minorBidi"/>
          <w:bCs w:val="0"/>
          <w:noProof/>
          <w:kern w:val="2"/>
          <w:sz w:val="24"/>
          <w:szCs w:val="24"/>
          <w14:ligatures w14:val="standardContextual"/>
        </w:rPr>
      </w:pPr>
      <w:hyperlink w:anchor="_Toc187231345" w:history="1">
        <w:r w:rsidRPr="0061063B">
          <w:rPr>
            <w:rStyle w:val="Hyperlink"/>
            <w:rFonts w:ascii="Arial" w:eastAsiaTheme="majorEastAsia" w:hAnsi="Arial" w:cs="Arial"/>
            <w:noProof/>
          </w:rPr>
          <w:t>1.1</w:t>
        </w:r>
        <w:r w:rsidRPr="00AB58D2">
          <w:rPr>
            <w:rFonts w:ascii="Arial" w:eastAsiaTheme="minorEastAsia" w:hAnsi="Arial" w:cstheme="minorBidi"/>
            <w:bCs w:val="0"/>
            <w:noProof/>
            <w:kern w:val="2"/>
            <w:sz w:val="24"/>
            <w:szCs w:val="24"/>
            <w14:ligatures w14:val="standardContextual"/>
          </w:rPr>
          <w:tab/>
        </w:r>
        <w:r w:rsidRPr="0061063B">
          <w:rPr>
            <w:rStyle w:val="Hyperlink"/>
            <w:rFonts w:ascii="Arial" w:eastAsiaTheme="majorEastAsia" w:hAnsi="Arial" w:cs="Arial"/>
            <w:noProof/>
          </w:rPr>
          <w:t>Policy statement</w:t>
        </w:r>
        <w:r w:rsidRPr="00AB58D2">
          <w:rPr>
            <w:rFonts w:ascii="Arial" w:hAnsi="Arial"/>
            <w:noProof/>
            <w:webHidden/>
          </w:rPr>
          <w:tab/>
        </w:r>
        <w:r w:rsidRPr="00AB58D2">
          <w:rPr>
            <w:rFonts w:ascii="Arial" w:hAnsi="Arial"/>
            <w:noProof/>
            <w:webHidden/>
          </w:rPr>
          <w:fldChar w:fldCharType="begin"/>
        </w:r>
        <w:r w:rsidRPr="00AB58D2">
          <w:rPr>
            <w:rFonts w:ascii="Arial" w:hAnsi="Arial"/>
            <w:noProof/>
            <w:webHidden/>
          </w:rPr>
          <w:instrText xml:space="preserve"> PAGEREF _Toc187231345 \h </w:instrText>
        </w:r>
        <w:r w:rsidRPr="00AB58D2">
          <w:rPr>
            <w:rFonts w:ascii="Arial" w:hAnsi="Arial"/>
            <w:noProof/>
            <w:webHidden/>
          </w:rPr>
        </w:r>
        <w:r w:rsidRPr="00AB58D2">
          <w:rPr>
            <w:rFonts w:ascii="Arial" w:hAnsi="Arial"/>
            <w:noProof/>
            <w:webHidden/>
          </w:rPr>
          <w:fldChar w:fldCharType="separate"/>
        </w:r>
        <w:r w:rsidR="001D07EB">
          <w:rPr>
            <w:rFonts w:ascii="Arial" w:hAnsi="Arial"/>
            <w:noProof/>
            <w:webHidden/>
          </w:rPr>
          <w:t>2</w:t>
        </w:r>
        <w:r w:rsidRPr="00AB58D2">
          <w:rPr>
            <w:rFonts w:ascii="Arial" w:hAnsi="Arial"/>
            <w:noProof/>
            <w:webHidden/>
          </w:rPr>
          <w:fldChar w:fldCharType="end"/>
        </w:r>
      </w:hyperlink>
    </w:p>
    <w:p w14:paraId="1233808B" w14:textId="2E363803" w:rsidR="0061063B" w:rsidRPr="00AB58D2" w:rsidRDefault="0061063B" w:rsidP="00AB58D2">
      <w:pPr>
        <w:pStyle w:val="TOC2"/>
        <w:tabs>
          <w:tab w:val="clear" w:pos="8364"/>
          <w:tab w:val="right" w:pos="8931"/>
        </w:tabs>
        <w:rPr>
          <w:rFonts w:ascii="Arial" w:eastAsiaTheme="minorEastAsia" w:hAnsi="Arial" w:cstheme="minorBidi"/>
          <w:bCs w:val="0"/>
          <w:noProof/>
          <w:kern w:val="2"/>
          <w:sz w:val="24"/>
          <w:szCs w:val="24"/>
          <w14:ligatures w14:val="standardContextual"/>
        </w:rPr>
      </w:pPr>
      <w:hyperlink w:anchor="_Toc187231347" w:history="1">
        <w:r w:rsidRPr="0061063B">
          <w:rPr>
            <w:rStyle w:val="Hyperlink"/>
            <w:rFonts w:ascii="Arial" w:eastAsiaTheme="majorEastAsia" w:hAnsi="Arial" w:cs="Arial"/>
            <w:noProof/>
          </w:rPr>
          <w:t>1.2</w:t>
        </w:r>
        <w:r w:rsidRPr="00AB58D2">
          <w:rPr>
            <w:rFonts w:ascii="Arial" w:eastAsiaTheme="minorEastAsia" w:hAnsi="Arial" w:cstheme="minorBidi"/>
            <w:bCs w:val="0"/>
            <w:noProof/>
            <w:kern w:val="2"/>
            <w:sz w:val="24"/>
            <w:szCs w:val="24"/>
            <w14:ligatures w14:val="standardContextual"/>
          </w:rPr>
          <w:tab/>
        </w:r>
        <w:r w:rsidRPr="0061063B">
          <w:rPr>
            <w:rStyle w:val="Hyperlink"/>
            <w:rFonts w:ascii="Arial" w:eastAsiaTheme="majorEastAsia" w:hAnsi="Arial" w:cs="Arial"/>
            <w:noProof/>
          </w:rPr>
          <w:t>Status</w:t>
        </w:r>
        <w:r w:rsidRPr="00AB58D2">
          <w:rPr>
            <w:rFonts w:ascii="Arial" w:hAnsi="Arial"/>
            <w:noProof/>
            <w:webHidden/>
          </w:rPr>
          <w:tab/>
        </w:r>
        <w:r w:rsidRPr="00AB58D2">
          <w:rPr>
            <w:rFonts w:ascii="Arial" w:hAnsi="Arial"/>
            <w:noProof/>
            <w:webHidden/>
          </w:rPr>
          <w:fldChar w:fldCharType="begin"/>
        </w:r>
        <w:r w:rsidRPr="00AB58D2">
          <w:rPr>
            <w:rFonts w:ascii="Arial" w:hAnsi="Arial"/>
            <w:noProof/>
            <w:webHidden/>
          </w:rPr>
          <w:instrText xml:space="preserve"> PAGEREF _Toc187231347 \h </w:instrText>
        </w:r>
        <w:r w:rsidRPr="00AB58D2">
          <w:rPr>
            <w:rFonts w:ascii="Arial" w:hAnsi="Arial"/>
            <w:noProof/>
            <w:webHidden/>
          </w:rPr>
        </w:r>
        <w:r w:rsidRPr="00AB58D2">
          <w:rPr>
            <w:rFonts w:ascii="Arial" w:hAnsi="Arial"/>
            <w:noProof/>
            <w:webHidden/>
          </w:rPr>
          <w:fldChar w:fldCharType="separate"/>
        </w:r>
        <w:r w:rsidR="001D07EB">
          <w:rPr>
            <w:rFonts w:ascii="Arial" w:hAnsi="Arial"/>
            <w:noProof/>
            <w:webHidden/>
          </w:rPr>
          <w:t>2</w:t>
        </w:r>
        <w:r w:rsidRPr="00AB58D2">
          <w:rPr>
            <w:rFonts w:ascii="Arial" w:hAnsi="Arial"/>
            <w:noProof/>
            <w:webHidden/>
          </w:rPr>
          <w:fldChar w:fldCharType="end"/>
        </w:r>
      </w:hyperlink>
    </w:p>
    <w:p w14:paraId="5CD6FDB5" w14:textId="6C8DB5D5" w:rsidR="0061063B" w:rsidRPr="00AB58D2" w:rsidRDefault="0061063B" w:rsidP="00AB58D2">
      <w:pPr>
        <w:pStyle w:val="TOC1"/>
        <w:tabs>
          <w:tab w:val="clear" w:pos="8364"/>
          <w:tab w:val="right" w:pos="8931"/>
        </w:tabs>
        <w:rPr>
          <w:rFonts w:ascii="Arial" w:eastAsiaTheme="minorEastAsia" w:hAnsi="Arial" w:cstheme="minorBidi"/>
          <w:bCs w:val="0"/>
          <w:caps w:val="0"/>
          <w:noProof/>
          <w:kern w:val="2"/>
          <w14:ligatures w14:val="standardContextual"/>
        </w:rPr>
      </w:pPr>
      <w:hyperlink w:anchor="_Toc187231348" w:history="1">
        <w:r w:rsidRPr="00AB58D2">
          <w:rPr>
            <w:rStyle w:val="Hyperlink"/>
            <w:rFonts w:ascii="Arial" w:eastAsiaTheme="majorEastAsia" w:hAnsi="Arial"/>
            <w:caps w:val="0"/>
            <w:noProof/>
          </w:rPr>
          <w:t>2</w:t>
        </w:r>
        <w:r w:rsidRPr="00AB58D2">
          <w:rPr>
            <w:rFonts w:ascii="Arial" w:eastAsiaTheme="minorEastAsia" w:hAnsi="Arial" w:cstheme="minorBidi"/>
            <w:bCs w:val="0"/>
            <w:caps w:val="0"/>
            <w:noProof/>
            <w:kern w:val="2"/>
            <w14:ligatures w14:val="standardContextual"/>
          </w:rPr>
          <w:tab/>
        </w:r>
        <w:r w:rsidRPr="00AB58D2">
          <w:rPr>
            <w:rStyle w:val="Hyperlink"/>
            <w:rFonts w:ascii="Arial" w:eastAsiaTheme="majorEastAsia" w:hAnsi="Arial"/>
            <w:caps w:val="0"/>
            <w:noProof/>
          </w:rPr>
          <w:t>Patients’ rights to confidentiality</w:t>
        </w:r>
        <w:r w:rsidRPr="00AB58D2">
          <w:rPr>
            <w:rFonts w:ascii="Arial" w:hAnsi="Arial"/>
            <w:caps w:val="0"/>
            <w:noProof/>
            <w:webHidden/>
          </w:rPr>
          <w:tab/>
        </w:r>
        <w:r w:rsidRPr="00AB58D2">
          <w:rPr>
            <w:rFonts w:ascii="Arial" w:hAnsi="Arial"/>
            <w:caps w:val="0"/>
            <w:noProof/>
            <w:webHidden/>
          </w:rPr>
          <w:fldChar w:fldCharType="begin"/>
        </w:r>
        <w:r w:rsidRPr="00AB58D2">
          <w:rPr>
            <w:rFonts w:ascii="Arial" w:hAnsi="Arial"/>
            <w:caps w:val="0"/>
            <w:noProof/>
            <w:webHidden/>
          </w:rPr>
          <w:instrText xml:space="preserve"> PAGEREF _Toc187231348 \h </w:instrText>
        </w:r>
        <w:r w:rsidRPr="00AB58D2">
          <w:rPr>
            <w:rFonts w:ascii="Arial" w:hAnsi="Arial"/>
            <w:caps w:val="0"/>
            <w:noProof/>
            <w:webHidden/>
          </w:rPr>
        </w:r>
        <w:r w:rsidRPr="00AB58D2">
          <w:rPr>
            <w:rFonts w:ascii="Arial" w:hAnsi="Arial"/>
            <w:caps w:val="0"/>
            <w:noProof/>
            <w:webHidden/>
          </w:rPr>
          <w:fldChar w:fldCharType="separate"/>
        </w:r>
        <w:r w:rsidR="001D07EB">
          <w:rPr>
            <w:rFonts w:ascii="Arial" w:hAnsi="Arial"/>
            <w:caps w:val="0"/>
            <w:noProof/>
            <w:webHidden/>
          </w:rPr>
          <w:t>2</w:t>
        </w:r>
        <w:r w:rsidRPr="00AB58D2">
          <w:rPr>
            <w:rFonts w:ascii="Arial" w:hAnsi="Arial"/>
            <w:caps w:val="0"/>
            <w:noProof/>
            <w:webHidden/>
          </w:rPr>
          <w:fldChar w:fldCharType="end"/>
        </w:r>
      </w:hyperlink>
    </w:p>
    <w:p w14:paraId="3ECFDED9" w14:textId="2322556D" w:rsidR="0061063B" w:rsidRPr="00AB58D2" w:rsidRDefault="0061063B" w:rsidP="00AB58D2">
      <w:pPr>
        <w:pStyle w:val="TOC2"/>
        <w:tabs>
          <w:tab w:val="clear" w:pos="8364"/>
          <w:tab w:val="right" w:pos="8931"/>
        </w:tabs>
        <w:rPr>
          <w:rFonts w:ascii="Arial" w:eastAsiaTheme="minorEastAsia" w:hAnsi="Arial" w:cstheme="minorBidi"/>
          <w:bCs w:val="0"/>
          <w:noProof/>
          <w:kern w:val="2"/>
          <w:sz w:val="24"/>
          <w:szCs w:val="24"/>
          <w14:ligatures w14:val="standardContextual"/>
        </w:rPr>
      </w:pPr>
      <w:hyperlink w:anchor="_Toc187231353" w:history="1">
        <w:r w:rsidRPr="0061063B">
          <w:rPr>
            <w:rStyle w:val="Hyperlink"/>
            <w:rFonts w:ascii="Arial" w:eastAsiaTheme="majorEastAsia" w:hAnsi="Arial" w:cs="Arial"/>
            <w:noProof/>
          </w:rPr>
          <w:t>2.1</w:t>
        </w:r>
        <w:r w:rsidRPr="00AB58D2">
          <w:rPr>
            <w:rFonts w:ascii="Arial" w:eastAsiaTheme="minorEastAsia" w:hAnsi="Arial" w:cstheme="minorBidi"/>
            <w:bCs w:val="0"/>
            <w:noProof/>
            <w:kern w:val="2"/>
            <w:sz w:val="24"/>
            <w:szCs w:val="24"/>
            <w14:ligatures w14:val="standardContextual"/>
          </w:rPr>
          <w:tab/>
        </w:r>
        <w:r w:rsidRPr="0061063B">
          <w:rPr>
            <w:rStyle w:val="Hyperlink"/>
            <w:rFonts w:ascii="Arial" w:eastAsiaTheme="majorEastAsia" w:hAnsi="Arial" w:cs="Arial"/>
            <w:noProof/>
          </w:rPr>
          <w:t>Principles</w:t>
        </w:r>
        <w:r w:rsidRPr="00AB58D2">
          <w:rPr>
            <w:rFonts w:ascii="Arial" w:hAnsi="Arial"/>
            <w:noProof/>
            <w:webHidden/>
          </w:rPr>
          <w:tab/>
        </w:r>
        <w:r w:rsidRPr="00AB58D2">
          <w:rPr>
            <w:rFonts w:ascii="Arial" w:hAnsi="Arial"/>
            <w:noProof/>
            <w:webHidden/>
          </w:rPr>
          <w:fldChar w:fldCharType="begin"/>
        </w:r>
        <w:r w:rsidRPr="00AB58D2">
          <w:rPr>
            <w:rFonts w:ascii="Arial" w:hAnsi="Arial"/>
            <w:noProof/>
            <w:webHidden/>
          </w:rPr>
          <w:instrText xml:space="preserve"> PAGEREF _Toc187231353 \h </w:instrText>
        </w:r>
        <w:r w:rsidRPr="00AB58D2">
          <w:rPr>
            <w:rFonts w:ascii="Arial" w:hAnsi="Arial"/>
            <w:noProof/>
            <w:webHidden/>
          </w:rPr>
        </w:r>
        <w:r w:rsidRPr="00AB58D2">
          <w:rPr>
            <w:rFonts w:ascii="Arial" w:hAnsi="Arial"/>
            <w:noProof/>
            <w:webHidden/>
          </w:rPr>
          <w:fldChar w:fldCharType="separate"/>
        </w:r>
        <w:r w:rsidR="001D07EB">
          <w:rPr>
            <w:rFonts w:ascii="Arial" w:hAnsi="Arial"/>
            <w:noProof/>
            <w:webHidden/>
          </w:rPr>
          <w:t>2</w:t>
        </w:r>
        <w:r w:rsidRPr="00AB58D2">
          <w:rPr>
            <w:rFonts w:ascii="Arial" w:hAnsi="Arial"/>
            <w:noProof/>
            <w:webHidden/>
          </w:rPr>
          <w:fldChar w:fldCharType="end"/>
        </w:r>
      </w:hyperlink>
    </w:p>
    <w:p w14:paraId="47A4F95B" w14:textId="2813E658" w:rsidR="0061063B" w:rsidRPr="00AB58D2" w:rsidRDefault="0061063B" w:rsidP="00AB58D2">
      <w:pPr>
        <w:pStyle w:val="TOC2"/>
        <w:tabs>
          <w:tab w:val="clear" w:pos="8364"/>
          <w:tab w:val="right" w:pos="8931"/>
        </w:tabs>
        <w:rPr>
          <w:rFonts w:ascii="Arial" w:eastAsiaTheme="minorEastAsia" w:hAnsi="Arial" w:cstheme="minorBidi"/>
          <w:bCs w:val="0"/>
          <w:noProof/>
          <w:kern w:val="2"/>
          <w:sz w:val="24"/>
          <w:szCs w:val="24"/>
          <w14:ligatures w14:val="standardContextual"/>
        </w:rPr>
      </w:pPr>
      <w:hyperlink w:anchor="_Toc187231355" w:history="1">
        <w:r w:rsidRPr="0061063B">
          <w:rPr>
            <w:rStyle w:val="Hyperlink"/>
            <w:rFonts w:ascii="Arial" w:eastAsiaTheme="majorEastAsia" w:hAnsi="Arial" w:cs="Arial"/>
            <w:noProof/>
          </w:rPr>
          <w:t>2.2</w:t>
        </w:r>
        <w:r w:rsidRPr="00AB58D2">
          <w:rPr>
            <w:rFonts w:ascii="Arial" w:eastAsiaTheme="minorEastAsia" w:hAnsi="Arial" w:cstheme="minorBidi"/>
            <w:bCs w:val="0"/>
            <w:noProof/>
            <w:kern w:val="2"/>
            <w:sz w:val="24"/>
            <w:szCs w:val="24"/>
            <w14:ligatures w14:val="standardContextual"/>
          </w:rPr>
          <w:tab/>
        </w:r>
        <w:r w:rsidRPr="0061063B">
          <w:rPr>
            <w:rStyle w:val="Hyperlink"/>
            <w:rFonts w:ascii="Arial" w:eastAsiaTheme="majorEastAsia" w:hAnsi="Arial" w:cs="Arial"/>
            <w:noProof/>
          </w:rPr>
          <w:t>Protecting information</w:t>
        </w:r>
        <w:r w:rsidRPr="00AB58D2">
          <w:rPr>
            <w:rFonts w:ascii="Arial" w:hAnsi="Arial"/>
            <w:noProof/>
            <w:webHidden/>
          </w:rPr>
          <w:tab/>
        </w:r>
        <w:r w:rsidRPr="00AB58D2">
          <w:rPr>
            <w:rFonts w:ascii="Arial" w:hAnsi="Arial"/>
            <w:noProof/>
            <w:webHidden/>
          </w:rPr>
          <w:fldChar w:fldCharType="begin"/>
        </w:r>
        <w:r w:rsidRPr="00AB58D2">
          <w:rPr>
            <w:rFonts w:ascii="Arial" w:hAnsi="Arial"/>
            <w:noProof/>
            <w:webHidden/>
          </w:rPr>
          <w:instrText xml:space="preserve"> PAGEREF _Toc187231355 \h </w:instrText>
        </w:r>
        <w:r w:rsidRPr="00AB58D2">
          <w:rPr>
            <w:rFonts w:ascii="Arial" w:hAnsi="Arial"/>
            <w:noProof/>
            <w:webHidden/>
          </w:rPr>
        </w:r>
        <w:r w:rsidRPr="00AB58D2">
          <w:rPr>
            <w:rFonts w:ascii="Arial" w:hAnsi="Arial"/>
            <w:noProof/>
            <w:webHidden/>
          </w:rPr>
          <w:fldChar w:fldCharType="separate"/>
        </w:r>
        <w:r w:rsidR="001D07EB">
          <w:rPr>
            <w:rFonts w:ascii="Arial" w:hAnsi="Arial"/>
            <w:noProof/>
            <w:webHidden/>
          </w:rPr>
          <w:t>3</w:t>
        </w:r>
        <w:r w:rsidRPr="00AB58D2">
          <w:rPr>
            <w:rFonts w:ascii="Arial" w:hAnsi="Arial"/>
            <w:noProof/>
            <w:webHidden/>
          </w:rPr>
          <w:fldChar w:fldCharType="end"/>
        </w:r>
      </w:hyperlink>
    </w:p>
    <w:p w14:paraId="1EFEFFB0" w14:textId="6AA3AB57" w:rsidR="0061063B" w:rsidRPr="00AB58D2" w:rsidRDefault="0061063B" w:rsidP="00AB58D2">
      <w:pPr>
        <w:pStyle w:val="TOC1"/>
        <w:tabs>
          <w:tab w:val="clear" w:pos="8364"/>
          <w:tab w:val="right" w:pos="8931"/>
        </w:tabs>
        <w:rPr>
          <w:rStyle w:val="Hyperlink"/>
          <w:rFonts w:ascii="Arial" w:eastAsiaTheme="majorEastAsia" w:hAnsi="Arial"/>
          <w:caps w:val="0"/>
          <w:noProof/>
        </w:rPr>
      </w:pPr>
      <w:hyperlink w:anchor="_Toc187231356" w:history="1">
        <w:r w:rsidRPr="00AB58D2">
          <w:rPr>
            <w:rStyle w:val="Hyperlink"/>
            <w:rFonts w:ascii="Arial" w:eastAsiaTheme="majorEastAsia" w:hAnsi="Arial"/>
            <w:caps w:val="0"/>
            <w:noProof/>
          </w:rPr>
          <w:t>Annex A – Disclosure requirements</w:t>
        </w:r>
        <w:r w:rsidRPr="00AB58D2">
          <w:rPr>
            <w:rFonts w:ascii="Arial" w:hAnsi="Arial"/>
            <w:caps w:val="0"/>
            <w:noProof/>
            <w:webHidden/>
          </w:rPr>
          <w:tab/>
        </w:r>
        <w:r w:rsidRPr="00AB58D2">
          <w:rPr>
            <w:rFonts w:ascii="Arial" w:hAnsi="Arial"/>
            <w:caps w:val="0"/>
            <w:noProof/>
            <w:webHidden/>
          </w:rPr>
          <w:fldChar w:fldCharType="begin"/>
        </w:r>
        <w:r w:rsidRPr="00AB58D2">
          <w:rPr>
            <w:rFonts w:ascii="Arial" w:hAnsi="Arial"/>
            <w:caps w:val="0"/>
            <w:noProof/>
            <w:webHidden/>
          </w:rPr>
          <w:instrText xml:space="preserve"> PAGEREF _Toc187231356 \h </w:instrText>
        </w:r>
        <w:r w:rsidRPr="00AB58D2">
          <w:rPr>
            <w:rFonts w:ascii="Arial" w:hAnsi="Arial"/>
            <w:caps w:val="0"/>
            <w:noProof/>
            <w:webHidden/>
          </w:rPr>
        </w:r>
        <w:r w:rsidRPr="00AB58D2">
          <w:rPr>
            <w:rFonts w:ascii="Arial" w:hAnsi="Arial"/>
            <w:caps w:val="0"/>
            <w:noProof/>
            <w:webHidden/>
          </w:rPr>
          <w:fldChar w:fldCharType="separate"/>
        </w:r>
        <w:r w:rsidR="001D07EB">
          <w:rPr>
            <w:rFonts w:ascii="Arial" w:hAnsi="Arial"/>
            <w:caps w:val="0"/>
            <w:noProof/>
            <w:webHidden/>
          </w:rPr>
          <w:t>5</w:t>
        </w:r>
        <w:r w:rsidRPr="00AB58D2">
          <w:rPr>
            <w:rFonts w:ascii="Arial" w:hAnsi="Arial"/>
            <w:caps w:val="0"/>
            <w:noProof/>
            <w:webHidden/>
          </w:rPr>
          <w:fldChar w:fldCharType="end"/>
        </w:r>
      </w:hyperlink>
    </w:p>
    <w:p w14:paraId="18CA00A1" w14:textId="77777777" w:rsidR="0061063B" w:rsidRPr="00AB58D2" w:rsidRDefault="0061063B" w:rsidP="00AB58D2">
      <w:pPr>
        <w:tabs>
          <w:tab w:val="right" w:pos="8931"/>
        </w:tabs>
        <w:rPr>
          <w:rFonts w:ascii="Arial" w:eastAsiaTheme="minorEastAsia" w:hAnsi="Arial"/>
          <w:b/>
          <w:noProof/>
        </w:rPr>
      </w:pPr>
    </w:p>
    <w:p w14:paraId="662AAE8A" w14:textId="77777777" w:rsidR="0061063B" w:rsidRPr="00AB58D2" w:rsidRDefault="0061063B" w:rsidP="0061063B">
      <w:pPr>
        <w:rPr>
          <w:rFonts w:ascii="Arial" w:eastAsiaTheme="minorEastAsia" w:hAnsi="Arial"/>
          <w:b/>
          <w:noProof/>
        </w:rPr>
      </w:pPr>
    </w:p>
    <w:p w14:paraId="015F11B6" w14:textId="77777777" w:rsidR="0061063B" w:rsidRPr="00AB58D2" w:rsidRDefault="0061063B" w:rsidP="0061063B">
      <w:pPr>
        <w:rPr>
          <w:rFonts w:ascii="Arial" w:eastAsiaTheme="minorEastAsia" w:hAnsi="Arial"/>
          <w:b/>
          <w:noProof/>
        </w:rPr>
      </w:pPr>
    </w:p>
    <w:p w14:paraId="5B7F937E" w14:textId="77777777" w:rsidR="0061063B" w:rsidRPr="00AB58D2" w:rsidRDefault="0061063B" w:rsidP="0061063B">
      <w:pPr>
        <w:rPr>
          <w:rFonts w:ascii="Arial" w:eastAsiaTheme="minorEastAsia" w:hAnsi="Arial"/>
          <w:b/>
          <w:noProof/>
        </w:rPr>
      </w:pPr>
    </w:p>
    <w:p w14:paraId="601E8732" w14:textId="77777777" w:rsidR="0061063B" w:rsidRPr="00AB58D2" w:rsidRDefault="0061063B" w:rsidP="0061063B">
      <w:pPr>
        <w:rPr>
          <w:rFonts w:ascii="Arial" w:eastAsiaTheme="minorEastAsia" w:hAnsi="Arial"/>
          <w:b/>
          <w:noProof/>
        </w:rPr>
      </w:pPr>
    </w:p>
    <w:p w14:paraId="339972B7" w14:textId="77777777" w:rsidR="0061063B" w:rsidRPr="00AB58D2" w:rsidRDefault="0061063B" w:rsidP="0061063B">
      <w:pPr>
        <w:rPr>
          <w:rFonts w:ascii="Arial" w:eastAsiaTheme="minorEastAsia" w:hAnsi="Arial"/>
          <w:b/>
          <w:noProof/>
        </w:rPr>
      </w:pPr>
    </w:p>
    <w:p w14:paraId="4AAC8F06" w14:textId="77777777" w:rsidR="0061063B" w:rsidRPr="00AB58D2" w:rsidRDefault="0061063B" w:rsidP="0061063B">
      <w:pPr>
        <w:rPr>
          <w:rFonts w:ascii="Arial" w:eastAsiaTheme="minorEastAsia" w:hAnsi="Arial"/>
          <w:b/>
          <w:noProof/>
        </w:rPr>
      </w:pPr>
    </w:p>
    <w:p w14:paraId="34A69571" w14:textId="77777777" w:rsidR="0061063B" w:rsidRPr="00AB58D2" w:rsidRDefault="0061063B" w:rsidP="0061063B">
      <w:pPr>
        <w:rPr>
          <w:rFonts w:ascii="Arial" w:eastAsiaTheme="minorEastAsia" w:hAnsi="Arial"/>
          <w:b/>
          <w:noProof/>
        </w:rPr>
      </w:pPr>
    </w:p>
    <w:p w14:paraId="5DC789A5" w14:textId="77777777" w:rsidR="0061063B" w:rsidRPr="00AB58D2" w:rsidRDefault="0061063B" w:rsidP="0061063B">
      <w:pPr>
        <w:rPr>
          <w:rFonts w:ascii="Arial" w:eastAsiaTheme="minorEastAsia" w:hAnsi="Arial"/>
          <w:b/>
          <w:noProof/>
        </w:rPr>
      </w:pPr>
    </w:p>
    <w:p w14:paraId="38CE1027" w14:textId="77777777" w:rsidR="0061063B" w:rsidRPr="00AB58D2" w:rsidRDefault="0061063B" w:rsidP="0061063B">
      <w:pPr>
        <w:rPr>
          <w:rFonts w:ascii="Arial" w:eastAsiaTheme="minorEastAsia" w:hAnsi="Arial"/>
          <w:b/>
          <w:noProof/>
        </w:rPr>
      </w:pPr>
    </w:p>
    <w:p w14:paraId="5EE4C62E" w14:textId="77777777" w:rsidR="0061063B" w:rsidRPr="00AB58D2" w:rsidRDefault="0061063B" w:rsidP="0061063B">
      <w:pPr>
        <w:rPr>
          <w:rFonts w:ascii="Arial" w:eastAsiaTheme="minorEastAsia" w:hAnsi="Arial"/>
          <w:b/>
          <w:noProof/>
        </w:rPr>
      </w:pPr>
    </w:p>
    <w:p w14:paraId="01666DDD" w14:textId="77777777" w:rsidR="0061063B" w:rsidRPr="00AB58D2" w:rsidRDefault="0061063B" w:rsidP="0061063B">
      <w:pPr>
        <w:rPr>
          <w:rFonts w:ascii="Arial" w:eastAsiaTheme="minorEastAsia" w:hAnsi="Arial"/>
          <w:b/>
          <w:noProof/>
        </w:rPr>
      </w:pPr>
    </w:p>
    <w:p w14:paraId="537743FA" w14:textId="77777777" w:rsidR="0061063B" w:rsidRPr="00AB58D2" w:rsidRDefault="0061063B" w:rsidP="0061063B">
      <w:pPr>
        <w:rPr>
          <w:rFonts w:ascii="Arial" w:eastAsiaTheme="minorEastAsia" w:hAnsi="Arial"/>
          <w:b/>
          <w:noProof/>
        </w:rPr>
      </w:pPr>
    </w:p>
    <w:p w14:paraId="345556EC" w14:textId="77777777" w:rsidR="0061063B" w:rsidRPr="00AB58D2" w:rsidRDefault="0061063B" w:rsidP="0061063B">
      <w:pPr>
        <w:rPr>
          <w:rFonts w:ascii="Arial" w:eastAsiaTheme="minorEastAsia" w:hAnsi="Arial"/>
          <w:b/>
          <w:noProof/>
        </w:rPr>
      </w:pPr>
    </w:p>
    <w:p w14:paraId="63A5ED36" w14:textId="77777777" w:rsidR="0061063B" w:rsidRPr="00AB58D2" w:rsidRDefault="0061063B" w:rsidP="00AB58D2">
      <w:pPr>
        <w:rPr>
          <w:rFonts w:ascii="Arial" w:eastAsiaTheme="minorEastAsia" w:hAnsi="Arial"/>
          <w:b/>
          <w:bCs/>
          <w:caps/>
          <w:noProof/>
        </w:rPr>
      </w:pPr>
    </w:p>
    <w:p w14:paraId="5D360308" w14:textId="6F2A9BEE" w:rsidR="00D85E4D" w:rsidRPr="002C2CC0" w:rsidRDefault="00D85E4D" w:rsidP="001A437A">
      <w:pPr>
        <w:pStyle w:val="TOC1"/>
        <w:rPr>
          <w:rFonts w:ascii="Arial" w:hAnsi="Arial"/>
          <w:caps w:val="0"/>
        </w:rPr>
      </w:pPr>
      <w:r w:rsidRPr="002C2CC0">
        <w:rPr>
          <w:rFonts w:ascii="Arial" w:hAnsi="Arial" w:cs="Arial"/>
          <w:caps w:val="0"/>
        </w:rPr>
        <w:fldChar w:fldCharType="end"/>
      </w:r>
    </w:p>
    <w:p w14:paraId="63ACFAD5" w14:textId="2945C081" w:rsidR="009A6972" w:rsidRPr="002C2CC0" w:rsidRDefault="009A6972" w:rsidP="001E31F8">
      <w:pPr>
        <w:rPr>
          <w:rFonts w:ascii="Arial" w:hAnsi="Arial"/>
          <w:b/>
        </w:rPr>
      </w:pPr>
    </w:p>
    <w:p w14:paraId="112FFD7B" w14:textId="7E8F32BD" w:rsidR="00A72123" w:rsidRPr="002C2CC0" w:rsidRDefault="00A72123" w:rsidP="00A72123">
      <w:pPr>
        <w:pStyle w:val="Heading1"/>
        <w:keepLines/>
        <w:pBdr>
          <w:bottom w:val="single" w:sz="4" w:space="1" w:color="595959" w:themeColor="text1" w:themeTint="A6"/>
        </w:pBdr>
        <w:spacing w:before="360" w:after="160" w:line="259" w:lineRule="auto"/>
        <w:rPr>
          <w:sz w:val="28"/>
          <w:szCs w:val="28"/>
        </w:rPr>
      </w:pPr>
      <w:bookmarkStart w:id="1" w:name="_Toc186198826"/>
      <w:bookmarkStart w:id="2" w:name="_Toc187231313"/>
      <w:bookmarkStart w:id="3" w:name="_Toc186198827"/>
      <w:bookmarkStart w:id="4" w:name="_Toc187231314"/>
      <w:bookmarkStart w:id="5" w:name="_Toc186198828"/>
      <w:bookmarkStart w:id="6" w:name="_Toc187231315"/>
      <w:bookmarkStart w:id="7" w:name="_Toc186198829"/>
      <w:bookmarkStart w:id="8" w:name="_Toc187231316"/>
      <w:bookmarkStart w:id="9" w:name="_Toc186198830"/>
      <w:bookmarkStart w:id="10" w:name="_Toc187231317"/>
      <w:bookmarkStart w:id="11" w:name="_Toc186198831"/>
      <w:bookmarkStart w:id="12" w:name="_Toc187231318"/>
      <w:bookmarkStart w:id="13" w:name="_Toc186198832"/>
      <w:bookmarkStart w:id="14" w:name="_Toc187231319"/>
      <w:bookmarkStart w:id="15" w:name="_Toc186198833"/>
      <w:bookmarkStart w:id="16" w:name="_Toc187231320"/>
      <w:bookmarkStart w:id="17" w:name="_Toc186198834"/>
      <w:bookmarkStart w:id="18" w:name="_Toc187231321"/>
      <w:bookmarkStart w:id="19" w:name="_Toc186198835"/>
      <w:bookmarkStart w:id="20" w:name="_Toc187231322"/>
      <w:bookmarkStart w:id="21" w:name="_Toc186198836"/>
      <w:bookmarkStart w:id="22" w:name="_Toc187231323"/>
      <w:bookmarkStart w:id="23" w:name="_Toc186198837"/>
      <w:bookmarkStart w:id="24" w:name="_Toc187231324"/>
      <w:bookmarkStart w:id="25" w:name="_Toc186198838"/>
      <w:bookmarkStart w:id="26" w:name="_Toc187231325"/>
      <w:bookmarkStart w:id="27" w:name="_Toc186198839"/>
      <w:bookmarkStart w:id="28" w:name="_Toc187231326"/>
      <w:bookmarkStart w:id="29" w:name="_Toc186198840"/>
      <w:bookmarkStart w:id="30" w:name="_Toc187231327"/>
      <w:bookmarkStart w:id="31" w:name="_Toc186198841"/>
      <w:bookmarkStart w:id="32" w:name="_Toc187231328"/>
      <w:bookmarkStart w:id="33" w:name="_Toc186198842"/>
      <w:bookmarkStart w:id="34" w:name="_Toc187231329"/>
      <w:bookmarkStart w:id="35" w:name="_Toc186198843"/>
      <w:bookmarkStart w:id="36" w:name="_Toc187231330"/>
      <w:bookmarkStart w:id="37" w:name="_Toc186198844"/>
      <w:bookmarkStart w:id="38" w:name="_Toc187231331"/>
      <w:bookmarkStart w:id="39" w:name="_Toc186198845"/>
      <w:bookmarkStart w:id="40" w:name="_Toc187231332"/>
      <w:bookmarkStart w:id="41" w:name="_Toc186198846"/>
      <w:bookmarkStart w:id="42" w:name="_Toc187231333"/>
      <w:bookmarkStart w:id="43" w:name="_Toc186198847"/>
      <w:bookmarkStart w:id="44" w:name="_Toc187231334"/>
      <w:bookmarkStart w:id="45" w:name="_Toc186198848"/>
      <w:bookmarkStart w:id="46" w:name="_Toc187231335"/>
      <w:bookmarkStart w:id="47" w:name="_Toc186198849"/>
      <w:bookmarkStart w:id="48" w:name="_Toc187231336"/>
      <w:bookmarkStart w:id="49" w:name="_Toc186198850"/>
      <w:bookmarkStart w:id="50" w:name="_Toc187231337"/>
      <w:bookmarkStart w:id="51" w:name="_Toc186198851"/>
      <w:bookmarkStart w:id="52" w:name="_Toc187231338"/>
      <w:bookmarkStart w:id="53" w:name="_Toc186198852"/>
      <w:bookmarkStart w:id="54" w:name="_Toc187231339"/>
      <w:bookmarkStart w:id="55" w:name="_Toc186198853"/>
      <w:bookmarkStart w:id="56" w:name="_Toc187231340"/>
      <w:bookmarkStart w:id="57" w:name="_Toc186198854"/>
      <w:bookmarkStart w:id="58" w:name="_Toc187231341"/>
      <w:bookmarkStart w:id="59" w:name="_Toc186198855"/>
      <w:bookmarkStart w:id="60" w:name="_Toc187231342"/>
      <w:bookmarkStart w:id="61" w:name="_Toc186198856"/>
      <w:bookmarkStart w:id="62" w:name="_Toc187231343"/>
      <w:bookmarkStart w:id="63" w:name="_Toc81499845"/>
      <w:bookmarkStart w:id="64" w:name="_Toc187231344"/>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rsidRPr="002C2CC0">
        <w:rPr>
          <w:sz w:val="28"/>
          <w:szCs w:val="28"/>
        </w:rPr>
        <w:lastRenderedPageBreak/>
        <w:t>Introduction</w:t>
      </w:r>
      <w:bookmarkEnd w:id="63"/>
      <w:bookmarkEnd w:id="64"/>
    </w:p>
    <w:p w14:paraId="791C0097" w14:textId="77777777" w:rsidR="00A72123" w:rsidRPr="002C2CC0" w:rsidRDefault="00A72123" w:rsidP="00A72123">
      <w:pPr>
        <w:keepNext/>
        <w:keepLines/>
        <w:numPr>
          <w:ilvl w:val="1"/>
          <w:numId w:val="1"/>
        </w:numPr>
        <w:spacing w:before="360" w:line="259" w:lineRule="auto"/>
        <w:outlineLvl w:val="1"/>
        <w:rPr>
          <w:rFonts w:ascii="Arial" w:eastAsiaTheme="majorEastAsia" w:hAnsi="Arial" w:cs="Arial"/>
          <w:b/>
          <w:bCs/>
          <w:color w:val="000000" w:themeColor="text1"/>
        </w:rPr>
      </w:pPr>
      <w:bookmarkStart w:id="65" w:name="_Toc495852825"/>
      <w:bookmarkStart w:id="66" w:name="_Toc81499846"/>
      <w:bookmarkStart w:id="67" w:name="_Toc187231345"/>
      <w:r w:rsidRPr="002C2CC0">
        <w:rPr>
          <w:rFonts w:ascii="Arial" w:eastAsiaTheme="majorEastAsia" w:hAnsi="Arial" w:cs="Arial"/>
          <w:b/>
          <w:bCs/>
          <w:color w:val="000000" w:themeColor="text1"/>
        </w:rPr>
        <w:t>Policy statement</w:t>
      </w:r>
      <w:bookmarkEnd w:id="65"/>
      <w:bookmarkEnd w:id="66"/>
      <w:bookmarkEnd w:id="67"/>
    </w:p>
    <w:p w14:paraId="5D50FCD1" w14:textId="77777777" w:rsidR="00447440" w:rsidRPr="002C2CC0" w:rsidRDefault="00447440" w:rsidP="00447440">
      <w:pPr>
        <w:rPr>
          <w:rFonts w:ascii="Arial" w:hAnsi="Arial" w:cs="Arial"/>
          <w:sz w:val="22"/>
          <w:szCs w:val="22"/>
        </w:rPr>
      </w:pPr>
      <w:bookmarkStart w:id="68" w:name="_Toc495852826"/>
    </w:p>
    <w:p w14:paraId="62D93BC1" w14:textId="71EB7D87" w:rsidR="00447440" w:rsidRPr="002C2CC0" w:rsidRDefault="005F2583" w:rsidP="00447440">
      <w:pPr>
        <w:rPr>
          <w:rFonts w:ascii="Arial" w:hAnsi="Arial" w:cs="Arial"/>
          <w:sz w:val="22"/>
          <w:szCs w:val="22"/>
        </w:rPr>
      </w:pPr>
      <w:r w:rsidRPr="002C2CC0">
        <w:rPr>
          <w:rFonts w:ascii="Arial" w:hAnsi="Arial" w:cs="Arial"/>
          <w:sz w:val="22"/>
          <w:szCs w:val="22"/>
        </w:rPr>
        <w:t>This organisation</w:t>
      </w:r>
      <w:r w:rsidR="00447440" w:rsidRPr="002C2CC0">
        <w:rPr>
          <w:rFonts w:ascii="Arial" w:hAnsi="Arial" w:cs="Arial"/>
          <w:sz w:val="22"/>
          <w:szCs w:val="22"/>
        </w:rPr>
        <w:t xml:space="preserve"> holds information about patients which must be kept private and confidential.</w:t>
      </w:r>
      <w:r w:rsidRPr="002C2CC0">
        <w:rPr>
          <w:rFonts w:ascii="Arial" w:hAnsi="Arial" w:cs="Arial"/>
          <w:sz w:val="22"/>
          <w:szCs w:val="22"/>
        </w:rPr>
        <w:t xml:space="preserve"> </w:t>
      </w:r>
      <w:r w:rsidR="00447440" w:rsidRPr="002C2CC0">
        <w:rPr>
          <w:rFonts w:ascii="Arial" w:hAnsi="Arial" w:cs="Arial"/>
          <w:sz w:val="22"/>
          <w:szCs w:val="22"/>
        </w:rPr>
        <w:t>In some instances, patient records can be very sensitive and may contain information concerning third parties. Patient information must not be given to others unless the patient consents or the disclosure can be justified</w:t>
      </w:r>
    </w:p>
    <w:p w14:paraId="42D64789" w14:textId="77777777" w:rsidR="00447440" w:rsidRPr="002C2CC0" w:rsidRDefault="00447440" w:rsidP="00447440">
      <w:pPr>
        <w:rPr>
          <w:rFonts w:ascii="Arial" w:hAnsi="Arial" w:cs="Arial"/>
          <w:sz w:val="22"/>
          <w:szCs w:val="22"/>
        </w:rPr>
      </w:pPr>
    </w:p>
    <w:p w14:paraId="143B57AD" w14:textId="7BE0EF10" w:rsidR="005F2583" w:rsidRPr="002C2CC0" w:rsidRDefault="00447440" w:rsidP="00087089">
      <w:pPr>
        <w:rPr>
          <w:rFonts w:ascii="Arial" w:hAnsi="Arial" w:cs="Arial"/>
          <w:sz w:val="22"/>
          <w:szCs w:val="22"/>
        </w:rPr>
      </w:pPr>
      <w:r w:rsidRPr="002C2CC0">
        <w:rPr>
          <w:rFonts w:ascii="Arial" w:hAnsi="Arial" w:cs="Arial"/>
          <w:sz w:val="22"/>
          <w:szCs w:val="22"/>
        </w:rPr>
        <w:t xml:space="preserve">This Code of Practice outlines how the Caldicott Guardian and all staff will deal with information about </w:t>
      </w:r>
      <w:r w:rsidR="00AB58D2">
        <w:rPr>
          <w:rFonts w:ascii="Arial" w:hAnsi="Arial" w:cs="Arial"/>
          <w:sz w:val="22"/>
          <w:szCs w:val="22"/>
        </w:rPr>
        <w:t>the organisation’s</w:t>
      </w:r>
      <w:r w:rsidRPr="002C2CC0">
        <w:rPr>
          <w:rFonts w:ascii="Arial" w:hAnsi="Arial" w:cs="Arial"/>
          <w:sz w:val="22"/>
          <w:szCs w:val="22"/>
        </w:rPr>
        <w:t xml:space="preserve"> patients. It also reflects the standards that are expected of </w:t>
      </w:r>
      <w:r w:rsidR="00B9454C" w:rsidRPr="002C2CC0">
        <w:rPr>
          <w:rFonts w:ascii="Arial" w:hAnsi="Arial" w:cs="Arial"/>
          <w:sz w:val="22"/>
          <w:szCs w:val="22"/>
        </w:rPr>
        <w:t xml:space="preserve">healthcare staff </w:t>
      </w:r>
      <w:r w:rsidRPr="002C2CC0">
        <w:rPr>
          <w:rFonts w:ascii="Arial" w:hAnsi="Arial" w:cs="Arial"/>
          <w:sz w:val="22"/>
          <w:szCs w:val="22"/>
        </w:rPr>
        <w:t>when they hold or share information about patients</w:t>
      </w:r>
      <w:r w:rsidR="00B9454C" w:rsidRPr="002C2CC0">
        <w:rPr>
          <w:rFonts w:ascii="Arial" w:hAnsi="Arial" w:cs="Arial"/>
          <w:sz w:val="22"/>
          <w:szCs w:val="22"/>
        </w:rPr>
        <w:t>. This is</w:t>
      </w:r>
      <w:r w:rsidRPr="002C2CC0">
        <w:rPr>
          <w:rFonts w:ascii="Arial" w:hAnsi="Arial" w:cs="Arial"/>
          <w:sz w:val="22"/>
          <w:szCs w:val="22"/>
        </w:rPr>
        <w:t xml:space="preserve"> </w:t>
      </w:r>
      <w:r w:rsidR="00E956D9" w:rsidRPr="002C2CC0">
        <w:rPr>
          <w:rFonts w:ascii="Arial" w:hAnsi="Arial" w:cs="Arial"/>
          <w:sz w:val="22"/>
          <w:szCs w:val="22"/>
        </w:rPr>
        <w:t>detailed within the following GMC guidance:</w:t>
      </w:r>
    </w:p>
    <w:p w14:paraId="48B7BC0B" w14:textId="77777777" w:rsidR="005F2583" w:rsidRPr="002C2CC0" w:rsidRDefault="005F2583" w:rsidP="00087089">
      <w:pPr>
        <w:rPr>
          <w:rFonts w:ascii="Arial" w:hAnsi="Arial" w:cs="Arial"/>
          <w:sz w:val="22"/>
          <w:szCs w:val="22"/>
        </w:rPr>
      </w:pPr>
    </w:p>
    <w:p w14:paraId="757D0C64" w14:textId="77777777" w:rsidR="005F2583" w:rsidRPr="00AB58D2" w:rsidRDefault="005F2583" w:rsidP="0058781F">
      <w:pPr>
        <w:pStyle w:val="ListParagraph"/>
        <w:numPr>
          <w:ilvl w:val="0"/>
          <w:numId w:val="2"/>
        </w:numPr>
        <w:rPr>
          <w:rFonts w:ascii="Arial" w:hAnsi="Arial" w:cs="Arial"/>
          <w:sz w:val="22"/>
          <w:szCs w:val="22"/>
        </w:rPr>
      </w:pPr>
      <w:hyperlink r:id="rId8" w:history="1">
        <w:r w:rsidRPr="00AB58D2">
          <w:rPr>
            <w:rStyle w:val="Hyperlink"/>
            <w:rFonts w:ascii="Arial" w:eastAsiaTheme="majorEastAsia" w:hAnsi="Arial" w:cs="Arial"/>
            <w:sz w:val="22"/>
            <w:szCs w:val="22"/>
          </w:rPr>
          <w:t>Confidentiality: Good Practice in Handling Patient Information</w:t>
        </w:r>
      </w:hyperlink>
      <w:r w:rsidRPr="00AB58D2">
        <w:rPr>
          <w:rFonts w:ascii="Arial" w:hAnsi="Arial" w:cs="Arial"/>
          <w:sz w:val="22"/>
          <w:szCs w:val="22"/>
        </w:rPr>
        <w:t xml:space="preserve"> </w:t>
      </w:r>
    </w:p>
    <w:p w14:paraId="59514CD7" w14:textId="77777777" w:rsidR="005F2583" w:rsidRPr="00AB58D2" w:rsidRDefault="005F2583" w:rsidP="0058781F">
      <w:pPr>
        <w:pStyle w:val="ListParagraph"/>
        <w:numPr>
          <w:ilvl w:val="0"/>
          <w:numId w:val="2"/>
        </w:numPr>
        <w:rPr>
          <w:rStyle w:val="Hyperlink"/>
          <w:rFonts w:ascii="Arial" w:eastAsiaTheme="minorHAnsi" w:hAnsi="Arial" w:cs="Arial"/>
          <w:color w:val="auto"/>
          <w:sz w:val="22"/>
          <w:szCs w:val="22"/>
          <w:u w:val="none"/>
        </w:rPr>
      </w:pPr>
      <w:hyperlink r:id="rId9" w:history="1">
        <w:r w:rsidRPr="00AB58D2">
          <w:rPr>
            <w:rStyle w:val="Hyperlink"/>
            <w:rFonts w:ascii="Arial" w:eastAsiaTheme="majorEastAsia" w:hAnsi="Arial" w:cs="Arial"/>
            <w:sz w:val="22"/>
            <w:szCs w:val="22"/>
          </w:rPr>
          <w:t>Raising and Acting on Concerns about Patient Safety</w:t>
        </w:r>
      </w:hyperlink>
    </w:p>
    <w:p w14:paraId="142D198F" w14:textId="173089FD" w:rsidR="00CB6866" w:rsidRPr="002C2CC0" w:rsidRDefault="00CB6866" w:rsidP="00165728">
      <w:pPr>
        <w:rPr>
          <w:rFonts w:ascii="Arial" w:hAnsi="Arial" w:cs="Arial"/>
          <w:sz w:val="22"/>
          <w:szCs w:val="22"/>
        </w:rPr>
      </w:pPr>
    </w:p>
    <w:p w14:paraId="449C637C" w14:textId="75683FBE" w:rsidR="00600418" w:rsidRPr="002C2CC0" w:rsidRDefault="00600418" w:rsidP="00600418">
      <w:pPr>
        <w:rPr>
          <w:rFonts w:ascii="Arial" w:hAnsi="Arial" w:cs="Arial"/>
          <w:color w:val="0563C1" w:themeColor="hyperlink"/>
          <w:sz w:val="22"/>
          <w:szCs w:val="22"/>
          <w:u w:val="single"/>
        </w:rPr>
      </w:pPr>
      <w:r w:rsidRPr="00AB58D2">
        <w:rPr>
          <w:noProof/>
        </w:rPr>
        <w:drawing>
          <wp:anchor distT="0" distB="0" distL="114300" distR="114300" simplePos="0" relativeHeight="251658240" behindDoc="0" locked="0" layoutInCell="1" allowOverlap="1" wp14:anchorId="44698AD1" wp14:editId="7D0B546E">
            <wp:simplePos x="0" y="0"/>
            <wp:positionH relativeFrom="column">
              <wp:posOffset>0</wp:posOffset>
            </wp:positionH>
            <wp:positionV relativeFrom="paragraph">
              <wp:posOffset>69667</wp:posOffset>
            </wp:positionV>
            <wp:extent cx="403860" cy="398145"/>
            <wp:effectExtent l="0" t="0" r="2540" b="0"/>
            <wp:wrapSquare wrapText="bothSides"/>
            <wp:docPr id="1" name="Picture 1" descr="Practice Index Hub">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actice Index Hub">
                      <a:hlinkClick r:id="rId10"/>
                    </pic:cNvPr>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83932"/>
                    <a:stretch/>
                  </pic:blipFill>
                  <pic:spPr bwMode="auto">
                    <a:xfrm>
                      <a:off x="0" y="0"/>
                      <a:ext cx="403860" cy="3981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D6F8104" w14:textId="77777777" w:rsidR="00E956D9" w:rsidRPr="002C2CC0" w:rsidRDefault="00E956D9" w:rsidP="00E956D9">
      <w:pPr>
        <w:rPr>
          <w:rFonts w:ascii="Arial" w:eastAsia="Arial" w:hAnsi="Arial" w:cs="Arial"/>
          <w:sz w:val="22"/>
          <w:szCs w:val="22"/>
        </w:rPr>
      </w:pPr>
      <w:r w:rsidRPr="002C2CC0">
        <w:rPr>
          <w:rFonts w:ascii="Arial" w:hAnsi="Arial" w:cs="Arial"/>
          <w:sz w:val="22"/>
          <w:szCs w:val="22"/>
          <w:lang w:eastAsia="en-US"/>
        </w:rPr>
        <w:t xml:space="preserve">The following eLearning is available </w:t>
      </w:r>
      <w:r w:rsidRPr="002C2CC0">
        <w:rPr>
          <w:rFonts w:ascii="Arial" w:eastAsia="Arial" w:hAnsi="Arial" w:cs="Arial"/>
          <w:sz w:val="22"/>
          <w:szCs w:val="22"/>
        </w:rPr>
        <w:t xml:space="preserve">in the </w:t>
      </w:r>
      <w:hyperlink r:id="rId12">
        <w:r w:rsidRPr="002C2CC0">
          <w:rPr>
            <w:rFonts w:ascii="Arial" w:eastAsia="Arial" w:hAnsi="Arial" w:cs="Arial"/>
            <w:color w:val="0563C1"/>
            <w:sz w:val="22"/>
            <w:szCs w:val="22"/>
            <w:u w:val="single"/>
          </w:rPr>
          <w:t>HUB</w:t>
        </w:r>
      </w:hyperlink>
      <w:r w:rsidRPr="002C2CC0">
        <w:rPr>
          <w:rFonts w:ascii="Arial" w:eastAsia="Arial" w:hAnsi="Arial" w:cs="Arial"/>
          <w:sz w:val="22"/>
          <w:szCs w:val="22"/>
        </w:rPr>
        <w:t>:</w:t>
      </w:r>
    </w:p>
    <w:p w14:paraId="2C128067" w14:textId="77777777" w:rsidR="00E956D9" w:rsidRPr="002C2CC0" w:rsidRDefault="00E956D9" w:rsidP="00E956D9">
      <w:pPr>
        <w:rPr>
          <w:rFonts w:ascii="Arial" w:eastAsia="Arial" w:hAnsi="Arial" w:cs="Arial"/>
          <w:sz w:val="22"/>
          <w:szCs w:val="22"/>
        </w:rPr>
      </w:pPr>
    </w:p>
    <w:p w14:paraId="39B57FA6" w14:textId="77777777" w:rsidR="00E956D9" w:rsidRPr="002C2CC0" w:rsidRDefault="00E956D9" w:rsidP="00E956D9">
      <w:pPr>
        <w:rPr>
          <w:rFonts w:ascii="Arial" w:eastAsia="Arial" w:hAnsi="Arial" w:cs="Arial"/>
          <w:sz w:val="22"/>
          <w:szCs w:val="22"/>
        </w:rPr>
      </w:pPr>
    </w:p>
    <w:p w14:paraId="02EECD43" w14:textId="77777777" w:rsidR="00E956D9" w:rsidRPr="00AB58D2" w:rsidRDefault="00E956D9" w:rsidP="0058781F">
      <w:pPr>
        <w:pStyle w:val="ListParagraph"/>
        <w:numPr>
          <w:ilvl w:val="0"/>
          <w:numId w:val="3"/>
        </w:numPr>
        <w:rPr>
          <w:rStyle w:val="Hyperlink"/>
          <w:rFonts w:ascii="Arial" w:hAnsi="Arial" w:cs="Arial"/>
          <w:color w:val="auto"/>
          <w:sz w:val="21"/>
          <w:szCs w:val="21"/>
          <w:u w:val="none"/>
          <w:lang w:eastAsia="en-US"/>
        </w:rPr>
      </w:pPr>
      <w:r w:rsidRPr="00AB58D2">
        <w:rPr>
          <w:rFonts w:ascii="Arial" w:hAnsi="Arial" w:cs="Arial"/>
          <w:sz w:val="22"/>
          <w:szCs w:val="22"/>
        </w:rPr>
        <w:t>Caldicott and Confidentiality</w:t>
      </w:r>
    </w:p>
    <w:p w14:paraId="1E454188" w14:textId="77777777" w:rsidR="00E956D9" w:rsidRPr="00AB58D2" w:rsidRDefault="00E956D9" w:rsidP="0058781F">
      <w:pPr>
        <w:pStyle w:val="ListParagraph"/>
        <w:numPr>
          <w:ilvl w:val="0"/>
          <w:numId w:val="3"/>
        </w:numPr>
        <w:rPr>
          <w:rStyle w:val="Hyperlink"/>
          <w:rFonts w:ascii="Arial" w:hAnsi="Arial" w:cs="Arial"/>
          <w:color w:val="auto"/>
          <w:sz w:val="22"/>
          <w:szCs w:val="22"/>
          <w:u w:val="none"/>
        </w:rPr>
      </w:pPr>
      <w:r w:rsidRPr="00AB58D2">
        <w:rPr>
          <w:rStyle w:val="Hyperlink"/>
          <w:rFonts w:ascii="Arial" w:hAnsi="Arial" w:cs="Arial"/>
          <w:color w:val="auto"/>
          <w:sz w:val="22"/>
          <w:szCs w:val="22"/>
          <w:u w:val="none"/>
        </w:rPr>
        <w:t>Consent</w:t>
      </w:r>
    </w:p>
    <w:p w14:paraId="61EFCF1B" w14:textId="77777777" w:rsidR="00E956D9" w:rsidRPr="00AB58D2" w:rsidRDefault="00E956D9" w:rsidP="0058781F">
      <w:pPr>
        <w:pStyle w:val="ListParagraph"/>
        <w:numPr>
          <w:ilvl w:val="0"/>
          <w:numId w:val="3"/>
        </w:numPr>
        <w:rPr>
          <w:rFonts w:ascii="Arial" w:hAnsi="Arial" w:cs="Arial"/>
          <w:sz w:val="22"/>
          <w:szCs w:val="22"/>
        </w:rPr>
      </w:pPr>
      <w:r w:rsidRPr="00AB58D2">
        <w:rPr>
          <w:rFonts w:ascii="Arial" w:hAnsi="Arial" w:cs="Arial"/>
          <w:sz w:val="22"/>
          <w:szCs w:val="22"/>
        </w:rPr>
        <w:t>GDPR – The Perfect Practice</w:t>
      </w:r>
    </w:p>
    <w:p w14:paraId="47E92157" w14:textId="77777777" w:rsidR="00E956D9" w:rsidRPr="00AB58D2" w:rsidRDefault="00E956D9" w:rsidP="0058781F">
      <w:pPr>
        <w:pStyle w:val="ListParagraph"/>
        <w:numPr>
          <w:ilvl w:val="0"/>
          <w:numId w:val="3"/>
        </w:numPr>
        <w:rPr>
          <w:rFonts w:ascii="Arial" w:hAnsi="Arial" w:cs="Arial"/>
          <w:sz w:val="22"/>
          <w:szCs w:val="22"/>
        </w:rPr>
      </w:pPr>
      <w:r w:rsidRPr="00AB58D2">
        <w:rPr>
          <w:rFonts w:ascii="Arial" w:hAnsi="Arial" w:cs="Arial"/>
          <w:sz w:val="22"/>
          <w:szCs w:val="22"/>
        </w:rPr>
        <w:t>Information Governance and Data Security</w:t>
      </w:r>
    </w:p>
    <w:p w14:paraId="55B0DAF9" w14:textId="77777777" w:rsidR="00E956D9" w:rsidRPr="00AB58D2" w:rsidRDefault="00E956D9" w:rsidP="0058781F">
      <w:pPr>
        <w:pStyle w:val="ListParagraph"/>
        <w:numPr>
          <w:ilvl w:val="0"/>
          <w:numId w:val="3"/>
        </w:numPr>
        <w:rPr>
          <w:rFonts w:ascii="Arial" w:hAnsi="Arial" w:cs="Arial"/>
          <w:sz w:val="22"/>
          <w:szCs w:val="22"/>
        </w:rPr>
      </w:pPr>
      <w:r w:rsidRPr="00AB58D2">
        <w:rPr>
          <w:rFonts w:ascii="Arial" w:hAnsi="Arial" w:cs="Arial"/>
          <w:sz w:val="22"/>
          <w:szCs w:val="22"/>
        </w:rPr>
        <w:t>UK General Data Protection Regulation (UK GDPR)</w:t>
      </w:r>
    </w:p>
    <w:p w14:paraId="1449EC51" w14:textId="77777777" w:rsidR="00A72123" w:rsidRPr="002C2CC0" w:rsidRDefault="00A72123" w:rsidP="00A72123">
      <w:pPr>
        <w:keepNext/>
        <w:keepLines/>
        <w:numPr>
          <w:ilvl w:val="1"/>
          <w:numId w:val="1"/>
        </w:numPr>
        <w:spacing w:before="360" w:line="259" w:lineRule="auto"/>
        <w:outlineLvl w:val="1"/>
        <w:rPr>
          <w:rFonts w:ascii="Arial" w:eastAsiaTheme="majorEastAsia" w:hAnsi="Arial" w:cs="Arial"/>
          <w:b/>
          <w:bCs/>
          <w:color w:val="000000" w:themeColor="text1"/>
        </w:rPr>
      </w:pPr>
      <w:bookmarkStart w:id="69" w:name="_Toc187231346"/>
      <w:bookmarkStart w:id="70" w:name="_Toc76023635"/>
      <w:bookmarkStart w:id="71" w:name="_Toc76023699"/>
      <w:bookmarkStart w:id="72" w:name="_Toc76376027"/>
      <w:bookmarkStart w:id="73" w:name="_Toc76377247"/>
      <w:bookmarkStart w:id="74" w:name="_Toc76377309"/>
      <w:bookmarkStart w:id="75" w:name="_Toc76378415"/>
      <w:bookmarkStart w:id="76" w:name="_Toc76023636"/>
      <w:bookmarkStart w:id="77" w:name="_Toc76023700"/>
      <w:bookmarkStart w:id="78" w:name="_Toc76376028"/>
      <w:bookmarkStart w:id="79" w:name="_Toc76377248"/>
      <w:bookmarkStart w:id="80" w:name="_Toc76377310"/>
      <w:bookmarkStart w:id="81" w:name="_Toc76378416"/>
      <w:bookmarkStart w:id="82" w:name="_Toc495852828"/>
      <w:bookmarkStart w:id="83" w:name="_Toc81499849"/>
      <w:bookmarkStart w:id="84" w:name="_Toc187231347"/>
      <w:bookmarkEnd w:id="68"/>
      <w:bookmarkEnd w:id="69"/>
      <w:bookmarkEnd w:id="70"/>
      <w:bookmarkEnd w:id="71"/>
      <w:bookmarkEnd w:id="72"/>
      <w:bookmarkEnd w:id="73"/>
      <w:bookmarkEnd w:id="74"/>
      <w:bookmarkEnd w:id="75"/>
      <w:bookmarkEnd w:id="76"/>
      <w:bookmarkEnd w:id="77"/>
      <w:bookmarkEnd w:id="78"/>
      <w:bookmarkEnd w:id="79"/>
      <w:bookmarkEnd w:id="80"/>
      <w:bookmarkEnd w:id="81"/>
      <w:r w:rsidRPr="002C2CC0">
        <w:rPr>
          <w:rFonts w:ascii="Arial" w:eastAsiaTheme="majorEastAsia" w:hAnsi="Arial" w:cs="Arial"/>
          <w:b/>
          <w:bCs/>
          <w:color w:val="000000" w:themeColor="text1"/>
        </w:rPr>
        <w:t>Status</w:t>
      </w:r>
      <w:bookmarkEnd w:id="82"/>
      <w:bookmarkEnd w:id="83"/>
      <w:bookmarkEnd w:id="84"/>
    </w:p>
    <w:p w14:paraId="558899AB" w14:textId="4045EE49" w:rsidR="00275E4A" w:rsidRPr="002C2CC0" w:rsidRDefault="00275E4A" w:rsidP="002507DA">
      <w:pPr>
        <w:widowControl w:val="0"/>
        <w:rPr>
          <w:rFonts w:ascii="Arial" w:hAnsi="Arial" w:cs="Arial"/>
          <w:sz w:val="22"/>
          <w:szCs w:val="22"/>
        </w:rPr>
      </w:pPr>
      <w:bookmarkStart w:id="85" w:name="_Toc76023638"/>
      <w:bookmarkStart w:id="86" w:name="_Toc76023702"/>
      <w:bookmarkStart w:id="87" w:name="_Toc76376030"/>
      <w:bookmarkStart w:id="88" w:name="_Toc76377250"/>
      <w:bookmarkStart w:id="89" w:name="_Toc76377312"/>
      <w:bookmarkStart w:id="90" w:name="_Toc76378418"/>
      <w:bookmarkStart w:id="91" w:name="_Toc76023639"/>
      <w:bookmarkStart w:id="92" w:name="_Toc76023703"/>
      <w:bookmarkStart w:id="93" w:name="_Toc76376031"/>
      <w:bookmarkStart w:id="94" w:name="_Toc76377251"/>
      <w:bookmarkStart w:id="95" w:name="_Toc76377313"/>
      <w:bookmarkStart w:id="96" w:name="_Toc76378419"/>
      <w:bookmarkStart w:id="97" w:name="_Toc76023645"/>
      <w:bookmarkStart w:id="98" w:name="_Toc76023709"/>
      <w:bookmarkStart w:id="99" w:name="_Toc76376037"/>
      <w:bookmarkStart w:id="100" w:name="_Toc76377257"/>
      <w:bookmarkStart w:id="101" w:name="_Toc76377319"/>
      <w:bookmarkStart w:id="102" w:name="_Toc76378425"/>
      <w:bookmarkStart w:id="103" w:name="_Toc8149985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14:paraId="3FEC76F7" w14:textId="77777777" w:rsidR="001A743D" w:rsidRPr="002C2CC0" w:rsidRDefault="00275E4A" w:rsidP="00275E4A">
      <w:pPr>
        <w:rPr>
          <w:rFonts w:ascii="Arial" w:hAnsi="Arial" w:cs="Arial"/>
          <w:sz w:val="22"/>
          <w:szCs w:val="22"/>
        </w:rPr>
      </w:pPr>
      <w:r w:rsidRPr="002C2CC0">
        <w:rPr>
          <w:rFonts w:ascii="Arial" w:hAnsi="Arial" w:cs="Arial"/>
          <w:sz w:val="22"/>
          <w:szCs w:val="22"/>
        </w:rPr>
        <w:t xml:space="preserve">In accordance with the </w:t>
      </w:r>
      <w:hyperlink r:id="rId13" w:history="1">
        <w:r w:rsidRPr="00AB58D2">
          <w:rPr>
            <w:rStyle w:val="Hyperlink"/>
            <w:rFonts w:ascii="Arial" w:eastAsiaTheme="majorEastAsia" w:hAnsi="Arial" w:cs="Arial"/>
            <w:sz w:val="22"/>
            <w:szCs w:val="22"/>
          </w:rPr>
          <w:t>Equality Act 2010</w:t>
        </w:r>
      </w:hyperlink>
      <w:r w:rsidRPr="002C2CC0">
        <w:rPr>
          <w:rFonts w:ascii="Arial" w:hAnsi="Arial" w:cs="Arial"/>
          <w:sz w:val="22"/>
          <w:szCs w:val="22"/>
        </w:rPr>
        <w:t>, we have considered how provisions within this policy might impact on different groups and individuals. This document and any procedures contained within it are non-contractual, which means they may be modified or withdrawn at any time. They apply to all employees and contractors working for the organisation.</w:t>
      </w:r>
    </w:p>
    <w:p w14:paraId="73C42D8D" w14:textId="1107F035" w:rsidR="001A743D" w:rsidRPr="002C2CC0" w:rsidRDefault="00E956D9" w:rsidP="001A743D">
      <w:pPr>
        <w:pStyle w:val="Heading1"/>
        <w:keepLines/>
        <w:pBdr>
          <w:bottom w:val="single" w:sz="4" w:space="1" w:color="595959" w:themeColor="text1" w:themeTint="A6"/>
        </w:pBdr>
        <w:spacing w:before="360" w:after="160" w:line="259" w:lineRule="auto"/>
        <w:rPr>
          <w:sz w:val="28"/>
          <w:szCs w:val="28"/>
        </w:rPr>
      </w:pPr>
      <w:bookmarkStart w:id="104" w:name="_Toc187231348"/>
      <w:r w:rsidRPr="002C2CC0">
        <w:rPr>
          <w:sz w:val="28"/>
          <w:szCs w:val="28"/>
        </w:rPr>
        <w:t>Patients’ rights to confidentiality</w:t>
      </w:r>
      <w:bookmarkEnd w:id="104"/>
    </w:p>
    <w:p w14:paraId="32A1FBD2" w14:textId="20E625D9" w:rsidR="00A72123" w:rsidRPr="00AB58D2" w:rsidRDefault="00E956D9" w:rsidP="00A72123">
      <w:pPr>
        <w:keepNext/>
        <w:keepLines/>
        <w:numPr>
          <w:ilvl w:val="1"/>
          <w:numId w:val="1"/>
        </w:numPr>
        <w:spacing w:before="360" w:line="259" w:lineRule="auto"/>
        <w:outlineLvl w:val="1"/>
        <w:rPr>
          <w:rFonts w:ascii="Arial" w:eastAsiaTheme="majorEastAsia" w:hAnsi="Arial" w:cs="Arial"/>
          <w:b/>
          <w:bCs/>
          <w:color w:val="000000" w:themeColor="text1"/>
        </w:rPr>
      </w:pPr>
      <w:bookmarkStart w:id="105" w:name="_Toc186189268"/>
      <w:bookmarkStart w:id="106" w:name="_Toc186189436"/>
      <w:bookmarkStart w:id="107" w:name="_Toc186198677"/>
      <w:bookmarkStart w:id="108" w:name="_Toc186198861"/>
      <w:bookmarkStart w:id="109" w:name="_Toc187231349"/>
      <w:bookmarkStart w:id="110" w:name="_Toc186189269"/>
      <w:bookmarkStart w:id="111" w:name="_Toc186189437"/>
      <w:bookmarkStart w:id="112" w:name="_Toc186198678"/>
      <w:bookmarkStart w:id="113" w:name="_Toc186198862"/>
      <w:bookmarkStart w:id="114" w:name="_Toc187231350"/>
      <w:bookmarkStart w:id="115" w:name="_Toc186189270"/>
      <w:bookmarkStart w:id="116" w:name="_Toc186189438"/>
      <w:bookmarkStart w:id="117" w:name="_Toc186198679"/>
      <w:bookmarkStart w:id="118" w:name="_Toc186198863"/>
      <w:bookmarkStart w:id="119" w:name="_Toc187231351"/>
      <w:bookmarkStart w:id="120" w:name="_Toc126064332"/>
      <w:bookmarkStart w:id="121" w:name="_Toc126660476"/>
      <w:bookmarkStart w:id="122" w:name="_Toc126660533"/>
      <w:bookmarkStart w:id="123" w:name="_Toc126661934"/>
      <w:bookmarkStart w:id="124" w:name="_Toc126064333"/>
      <w:bookmarkStart w:id="125" w:name="_Toc126660477"/>
      <w:bookmarkStart w:id="126" w:name="_Toc126660534"/>
      <w:bookmarkStart w:id="127" w:name="_Toc126661935"/>
      <w:bookmarkStart w:id="128" w:name="_Toc126064334"/>
      <w:bookmarkStart w:id="129" w:name="_Toc126660478"/>
      <w:bookmarkStart w:id="130" w:name="_Toc126660535"/>
      <w:bookmarkStart w:id="131" w:name="_Toc126661936"/>
      <w:bookmarkStart w:id="132" w:name="_Toc76023657"/>
      <w:bookmarkStart w:id="133" w:name="_Toc76023721"/>
      <w:bookmarkStart w:id="134" w:name="_Toc76376049"/>
      <w:bookmarkStart w:id="135" w:name="_Toc76377269"/>
      <w:bookmarkStart w:id="136" w:name="_Toc76377331"/>
      <w:bookmarkStart w:id="137" w:name="_Toc76378438"/>
      <w:bookmarkStart w:id="138" w:name="_Toc186198680"/>
      <w:bookmarkStart w:id="139" w:name="_Toc186198864"/>
      <w:bookmarkStart w:id="140" w:name="_Toc187231352"/>
      <w:bookmarkStart w:id="141" w:name="_Toc81499869"/>
      <w:bookmarkStart w:id="142" w:name="_Toc187231353"/>
      <w:bookmarkEnd w:id="103"/>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sidRPr="00AB58D2">
        <w:rPr>
          <w:rFonts w:ascii="Arial" w:eastAsiaTheme="majorEastAsia" w:hAnsi="Arial" w:cs="Arial"/>
          <w:b/>
          <w:bCs/>
          <w:color w:val="000000" w:themeColor="text1"/>
        </w:rPr>
        <w:t>Principles</w:t>
      </w:r>
      <w:bookmarkEnd w:id="142"/>
    </w:p>
    <w:p w14:paraId="0B466E8D" w14:textId="77777777" w:rsidR="00A72123" w:rsidRPr="002C2CC0" w:rsidRDefault="00A72123" w:rsidP="00A72123">
      <w:pPr>
        <w:rPr>
          <w:rFonts w:ascii="Arial" w:hAnsi="Arial" w:cs="Arial"/>
          <w:sz w:val="22"/>
          <w:szCs w:val="22"/>
        </w:rPr>
      </w:pPr>
    </w:p>
    <w:p w14:paraId="2EA4324E" w14:textId="5C24E381" w:rsidR="00E956D9" w:rsidRPr="002C2CC0" w:rsidRDefault="00E956D9" w:rsidP="00E956D9">
      <w:pPr>
        <w:pStyle w:val="NoSpacing"/>
        <w:rPr>
          <w:rFonts w:ascii="Arial" w:hAnsi="Arial" w:cs="Arial"/>
          <w:b/>
          <w:bCs/>
          <w:sz w:val="24"/>
          <w:szCs w:val="24"/>
        </w:rPr>
      </w:pPr>
      <w:r w:rsidRPr="002C2CC0">
        <w:rPr>
          <w:rFonts w:ascii="Arial" w:hAnsi="Arial" w:cs="Arial"/>
        </w:rPr>
        <w:t>Patients have a right to expect that information about them will be held in confidence by their clinicians and health service providers</w:t>
      </w:r>
      <w:r w:rsidR="00B9454C" w:rsidRPr="002C2CC0">
        <w:rPr>
          <w:rFonts w:ascii="Arial" w:hAnsi="Arial" w:cs="Arial"/>
        </w:rPr>
        <w:t xml:space="preserve"> and</w:t>
      </w:r>
      <w:r w:rsidR="00AB58D2">
        <w:rPr>
          <w:rFonts w:ascii="Arial" w:hAnsi="Arial" w:cs="Arial"/>
        </w:rPr>
        <w:t xml:space="preserve"> this</w:t>
      </w:r>
      <w:r w:rsidR="00B9454C" w:rsidRPr="002C2CC0">
        <w:rPr>
          <w:rFonts w:ascii="Arial" w:hAnsi="Arial" w:cs="Arial"/>
        </w:rPr>
        <w:t xml:space="preserve"> is an absolute when promoting trust</w:t>
      </w:r>
      <w:r w:rsidRPr="002C2CC0">
        <w:rPr>
          <w:rFonts w:ascii="Arial" w:hAnsi="Arial" w:cs="Arial"/>
        </w:rPr>
        <w:t>. Without assurances about confidentiality, patients may be reluctant to seek medical attention or to give clinicians the information they need to provide good care.</w:t>
      </w:r>
    </w:p>
    <w:p w14:paraId="6C2AAEB4" w14:textId="77777777" w:rsidR="00E956D9" w:rsidRPr="002C2CC0" w:rsidRDefault="00E956D9" w:rsidP="00E956D9">
      <w:pPr>
        <w:pStyle w:val="NoSpacing"/>
        <w:rPr>
          <w:rFonts w:ascii="Arial" w:hAnsi="Arial" w:cs="Arial"/>
        </w:rPr>
      </w:pPr>
    </w:p>
    <w:p w14:paraId="7C1CE98B" w14:textId="09B0DE67" w:rsidR="00E956D9" w:rsidRPr="002C2CC0" w:rsidRDefault="00E956D9" w:rsidP="00E956D9">
      <w:pPr>
        <w:pStyle w:val="NoSpacing"/>
        <w:rPr>
          <w:rFonts w:ascii="Arial" w:hAnsi="Arial" w:cs="Arial"/>
        </w:rPr>
      </w:pPr>
      <w:r w:rsidRPr="002C2CC0">
        <w:rPr>
          <w:rFonts w:ascii="Arial" w:hAnsi="Arial" w:cs="Arial"/>
        </w:rPr>
        <w:t>Sharing appropriate information is an essential part of providing efficient, safe and effective care for both the individual patient and the wider community of patients. Information should be readily available to patients, and they should clearly understand that unless they object, their personal information may be disclosed for the sake of their own care and for local clinical audit purposes</w:t>
      </w:r>
      <w:r w:rsidR="00B9454C" w:rsidRPr="002C2CC0">
        <w:rPr>
          <w:rFonts w:ascii="Arial" w:hAnsi="Arial" w:cs="Arial"/>
        </w:rPr>
        <w:t xml:space="preserve">. </w:t>
      </w:r>
      <w:r w:rsidRPr="002C2CC0">
        <w:rPr>
          <w:rFonts w:ascii="Arial" w:hAnsi="Arial" w:cs="Arial"/>
        </w:rPr>
        <w:t xml:space="preserve">Most patients will understand the need for this </w:t>
      </w:r>
      <w:r w:rsidR="00AB58D2">
        <w:rPr>
          <w:rFonts w:ascii="Arial" w:hAnsi="Arial" w:cs="Arial"/>
        </w:rPr>
        <w:t>organisation</w:t>
      </w:r>
      <w:r w:rsidRPr="002C2CC0">
        <w:rPr>
          <w:rFonts w:ascii="Arial" w:hAnsi="Arial" w:cs="Arial"/>
        </w:rPr>
        <w:t xml:space="preserve"> to be aware of their personal information. However, they are less likely to be aware of disclosures to others for purposes other than their own care (e.g., service planning or medical research). </w:t>
      </w:r>
      <w:r w:rsidRPr="002C2CC0">
        <w:rPr>
          <w:rFonts w:ascii="Arial" w:hAnsi="Arial" w:cs="Arial"/>
        </w:rPr>
        <w:lastRenderedPageBreak/>
        <w:t xml:space="preserve">They must therefore be informed about disclosures for purposes they would not reasonably expect. </w:t>
      </w:r>
    </w:p>
    <w:p w14:paraId="7C388263" w14:textId="77777777" w:rsidR="00E956D9" w:rsidRPr="002C2CC0" w:rsidRDefault="00E956D9" w:rsidP="00E956D9">
      <w:pPr>
        <w:pStyle w:val="NoSpacing"/>
        <w:rPr>
          <w:rFonts w:ascii="Arial" w:hAnsi="Arial" w:cs="Arial"/>
        </w:rPr>
      </w:pPr>
    </w:p>
    <w:p w14:paraId="1EEF0AC6" w14:textId="45E4ECBC" w:rsidR="00E956D9" w:rsidRPr="002C2CC0" w:rsidRDefault="00B9454C" w:rsidP="00E956D9">
      <w:pPr>
        <w:pStyle w:val="NoSpacing"/>
        <w:rPr>
          <w:rFonts w:ascii="Arial" w:hAnsi="Arial" w:cs="Arial"/>
        </w:rPr>
      </w:pPr>
      <w:r w:rsidRPr="002C2CC0">
        <w:rPr>
          <w:rFonts w:ascii="Arial" w:hAnsi="Arial" w:cs="Arial"/>
        </w:rPr>
        <w:t>Whil</w:t>
      </w:r>
      <w:r w:rsidR="00AB58D2">
        <w:rPr>
          <w:rFonts w:ascii="Arial" w:hAnsi="Arial" w:cs="Arial"/>
        </w:rPr>
        <w:t>e</w:t>
      </w:r>
      <w:r w:rsidRPr="002C2CC0">
        <w:rPr>
          <w:rFonts w:ascii="Arial" w:hAnsi="Arial" w:cs="Arial"/>
        </w:rPr>
        <w:t xml:space="preserve"> </w:t>
      </w:r>
      <w:r w:rsidR="00E956D9" w:rsidRPr="002C2CC0">
        <w:rPr>
          <w:rFonts w:ascii="Arial" w:hAnsi="Arial" w:cs="Arial"/>
        </w:rPr>
        <w:t xml:space="preserve">confidentiality is an important duty, it is not absolute </w:t>
      </w:r>
      <w:r w:rsidRPr="002C2CC0">
        <w:rPr>
          <w:rFonts w:ascii="Arial" w:hAnsi="Arial" w:cs="Arial"/>
        </w:rPr>
        <w:t>should information be required to</w:t>
      </w:r>
      <w:r w:rsidR="00E956D9" w:rsidRPr="002C2CC0">
        <w:rPr>
          <w:rFonts w:ascii="Arial" w:hAnsi="Arial" w:cs="Arial"/>
        </w:rPr>
        <w:t xml:space="preserve"> be disclosed </w:t>
      </w:r>
      <w:r w:rsidRPr="002C2CC0">
        <w:rPr>
          <w:rFonts w:ascii="Arial" w:hAnsi="Arial" w:cs="Arial"/>
        </w:rPr>
        <w:t>when:</w:t>
      </w:r>
    </w:p>
    <w:p w14:paraId="537D1CAE" w14:textId="77777777" w:rsidR="00E956D9" w:rsidRPr="002C2CC0" w:rsidRDefault="00E956D9" w:rsidP="00E956D9">
      <w:pPr>
        <w:pStyle w:val="NoSpacing"/>
        <w:rPr>
          <w:rFonts w:ascii="Arial" w:hAnsi="Arial" w:cs="Arial"/>
        </w:rPr>
      </w:pPr>
    </w:p>
    <w:p w14:paraId="01C21562" w14:textId="77777777" w:rsidR="00E956D9" w:rsidRPr="002C2CC0" w:rsidRDefault="00E956D9" w:rsidP="0058781F">
      <w:pPr>
        <w:pStyle w:val="NoSpacing"/>
        <w:numPr>
          <w:ilvl w:val="0"/>
          <w:numId w:val="4"/>
        </w:numPr>
        <w:rPr>
          <w:rFonts w:ascii="Arial" w:hAnsi="Arial" w:cs="Arial"/>
        </w:rPr>
      </w:pPr>
      <w:r w:rsidRPr="002C2CC0">
        <w:rPr>
          <w:rFonts w:ascii="Arial" w:hAnsi="Arial" w:cs="Arial"/>
        </w:rPr>
        <w:t>It is required by law</w:t>
      </w:r>
    </w:p>
    <w:p w14:paraId="0DBAFFBC" w14:textId="3152AFB4" w:rsidR="00E956D9" w:rsidRPr="002C2CC0" w:rsidRDefault="00E956D9" w:rsidP="0058781F">
      <w:pPr>
        <w:pStyle w:val="NoSpacing"/>
        <w:numPr>
          <w:ilvl w:val="0"/>
          <w:numId w:val="4"/>
        </w:numPr>
        <w:rPr>
          <w:rFonts w:ascii="Arial" w:hAnsi="Arial" w:cs="Arial"/>
        </w:rPr>
      </w:pPr>
      <w:r w:rsidRPr="002C2CC0">
        <w:rPr>
          <w:rFonts w:ascii="Arial" w:hAnsi="Arial" w:cs="Arial"/>
        </w:rPr>
        <w:t>The patient consents</w:t>
      </w:r>
      <w:r w:rsidR="00B9454C" w:rsidRPr="002C2CC0">
        <w:rPr>
          <w:rFonts w:ascii="Arial" w:hAnsi="Arial" w:cs="Arial"/>
        </w:rPr>
        <w:t>,</w:t>
      </w:r>
      <w:r w:rsidRPr="002C2CC0">
        <w:rPr>
          <w:rFonts w:ascii="Arial" w:hAnsi="Arial" w:cs="Arial"/>
        </w:rPr>
        <w:t xml:space="preserve"> either implicitly for the sake of their own care or expressly for other purposes</w:t>
      </w:r>
    </w:p>
    <w:p w14:paraId="59F18C70" w14:textId="77777777" w:rsidR="00E956D9" w:rsidRPr="002C2CC0" w:rsidRDefault="00E956D9" w:rsidP="0058781F">
      <w:pPr>
        <w:pStyle w:val="NoSpacing"/>
        <w:numPr>
          <w:ilvl w:val="0"/>
          <w:numId w:val="4"/>
        </w:numPr>
        <w:rPr>
          <w:rFonts w:ascii="Arial" w:hAnsi="Arial" w:cs="Arial"/>
        </w:rPr>
      </w:pPr>
      <w:r w:rsidRPr="002C2CC0">
        <w:rPr>
          <w:rFonts w:ascii="Arial" w:hAnsi="Arial" w:cs="Arial"/>
        </w:rPr>
        <w:t>It is justified in the public interest</w:t>
      </w:r>
    </w:p>
    <w:p w14:paraId="22A59DEC" w14:textId="77777777" w:rsidR="00E956D9" w:rsidRPr="002C2CC0" w:rsidRDefault="00E956D9" w:rsidP="00E956D9">
      <w:pPr>
        <w:pStyle w:val="NoSpacing"/>
        <w:rPr>
          <w:rFonts w:ascii="Arial" w:hAnsi="Arial" w:cs="Arial"/>
        </w:rPr>
      </w:pPr>
    </w:p>
    <w:p w14:paraId="46A83C87" w14:textId="77777777" w:rsidR="00E956D9" w:rsidRPr="002C2CC0" w:rsidRDefault="00E956D9" w:rsidP="00E956D9">
      <w:pPr>
        <w:pStyle w:val="NoSpacing"/>
        <w:rPr>
          <w:rFonts w:ascii="Arial" w:hAnsi="Arial" w:cs="Arial"/>
        </w:rPr>
      </w:pPr>
      <w:r w:rsidRPr="002C2CC0">
        <w:rPr>
          <w:rFonts w:ascii="Arial" w:hAnsi="Arial" w:cs="Arial"/>
        </w:rPr>
        <w:t>When disclosing information about a patient, this organisation must:</w:t>
      </w:r>
    </w:p>
    <w:p w14:paraId="3F26E00F" w14:textId="77777777" w:rsidR="00E956D9" w:rsidRPr="002C2CC0" w:rsidRDefault="00E956D9" w:rsidP="00E956D9">
      <w:pPr>
        <w:pStyle w:val="NoSpacing"/>
        <w:rPr>
          <w:rFonts w:ascii="Arial" w:hAnsi="Arial" w:cs="Arial"/>
        </w:rPr>
      </w:pPr>
    </w:p>
    <w:p w14:paraId="516E7132" w14:textId="77777777" w:rsidR="00E956D9" w:rsidRPr="002C2CC0" w:rsidRDefault="00E956D9" w:rsidP="0058781F">
      <w:pPr>
        <w:pStyle w:val="NoSpacing"/>
        <w:numPr>
          <w:ilvl w:val="0"/>
          <w:numId w:val="5"/>
        </w:numPr>
        <w:rPr>
          <w:rFonts w:ascii="Arial" w:hAnsi="Arial" w:cs="Arial"/>
        </w:rPr>
      </w:pPr>
      <w:r w:rsidRPr="002C2CC0">
        <w:rPr>
          <w:rFonts w:ascii="Arial" w:hAnsi="Arial" w:cs="Arial"/>
        </w:rPr>
        <w:t>Use anonymised or coded information if practicable and if it will serve the purpose</w:t>
      </w:r>
    </w:p>
    <w:p w14:paraId="14F96B86" w14:textId="77777777" w:rsidR="00E956D9" w:rsidRPr="002C2CC0" w:rsidRDefault="00E956D9" w:rsidP="00E956D9">
      <w:pPr>
        <w:pStyle w:val="NoSpacing"/>
        <w:ind w:left="720"/>
        <w:rPr>
          <w:rFonts w:ascii="Arial" w:hAnsi="Arial" w:cs="Arial"/>
        </w:rPr>
      </w:pPr>
    </w:p>
    <w:p w14:paraId="70D9EFCA" w14:textId="6352D15D" w:rsidR="00E956D9" w:rsidRPr="002C2CC0" w:rsidRDefault="00E956D9" w:rsidP="0058781F">
      <w:pPr>
        <w:pStyle w:val="NoSpacing"/>
        <w:numPr>
          <w:ilvl w:val="0"/>
          <w:numId w:val="5"/>
        </w:numPr>
        <w:rPr>
          <w:rFonts w:ascii="Arial" w:hAnsi="Arial" w:cs="Arial"/>
        </w:rPr>
      </w:pPr>
      <w:r w:rsidRPr="002C2CC0">
        <w:rPr>
          <w:rFonts w:ascii="Arial" w:hAnsi="Arial" w:cs="Arial"/>
        </w:rPr>
        <w:t>Be satisfied that the patient</w:t>
      </w:r>
      <w:r w:rsidR="00B9454C" w:rsidRPr="002C2CC0">
        <w:rPr>
          <w:rFonts w:ascii="Arial" w:hAnsi="Arial" w:cs="Arial"/>
        </w:rPr>
        <w:t xml:space="preserve"> has </w:t>
      </w:r>
      <w:r w:rsidRPr="002C2CC0">
        <w:rPr>
          <w:rFonts w:ascii="Arial" w:hAnsi="Arial" w:cs="Arial"/>
        </w:rPr>
        <w:t>ready access to information that explains that their personal information might be disclosed for the sake of their own care, or for local clinical audit, and that they can object and</w:t>
      </w:r>
      <w:r w:rsidR="00B9454C" w:rsidRPr="002C2CC0">
        <w:rPr>
          <w:rFonts w:ascii="Arial" w:hAnsi="Arial" w:cs="Arial"/>
        </w:rPr>
        <w:t xml:space="preserve"> they have n</w:t>
      </w:r>
      <w:r w:rsidRPr="002C2CC0">
        <w:rPr>
          <w:rFonts w:ascii="Arial" w:hAnsi="Arial" w:cs="Arial"/>
        </w:rPr>
        <w:t>ot objected</w:t>
      </w:r>
    </w:p>
    <w:p w14:paraId="73D10E48" w14:textId="77777777" w:rsidR="00E956D9" w:rsidRPr="002C2CC0" w:rsidRDefault="00E956D9" w:rsidP="00E956D9">
      <w:pPr>
        <w:pStyle w:val="NoSpacing"/>
        <w:ind w:left="1440"/>
        <w:rPr>
          <w:rFonts w:ascii="Arial" w:hAnsi="Arial" w:cs="Arial"/>
        </w:rPr>
      </w:pPr>
    </w:p>
    <w:p w14:paraId="361DC5FC" w14:textId="3F39EF2B" w:rsidR="00E956D9" w:rsidRPr="002C2CC0" w:rsidRDefault="00AB58D2" w:rsidP="0058781F">
      <w:pPr>
        <w:pStyle w:val="NoSpacing"/>
        <w:numPr>
          <w:ilvl w:val="0"/>
          <w:numId w:val="6"/>
        </w:numPr>
        <w:rPr>
          <w:rFonts w:ascii="Arial" w:hAnsi="Arial" w:cs="Arial"/>
        </w:rPr>
      </w:pPr>
      <w:r>
        <w:rPr>
          <w:rFonts w:ascii="Arial" w:hAnsi="Arial" w:cs="Arial"/>
        </w:rPr>
        <w:t>Obtain</w:t>
      </w:r>
      <w:r w:rsidR="00E956D9" w:rsidRPr="002C2CC0">
        <w:rPr>
          <w:rFonts w:ascii="Arial" w:hAnsi="Arial" w:cs="Arial"/>
        </w:rPr>
        <w:t xml:space="preserve"> the patient’s express consent if identifiable information is to be disclosed for purposes other than their care or local clinical audit unless the disclosure is required by law or can be justified in the public interest</w:t>
      </w:r>
    </w:p>
    <w:p w14:paraId="2F4128B1" w14:textId="77777777" w:rsidR="00E956D9" w:rsidRPr="002C2CC0" w:rsidRDefault="00E956D9" w:rsidP="00E956D9">
      <w:pPr>
        <w:pStyle w:val="NoSpacing"/>
        <w:ind w:left="720"/>
        <w:rPr>
          <w:rFonts w:ascii="Arial" w:hAnsi="Arial" w:cs="Arial"/>
        </w:rPr>
      </w:pPr>
    </w:p>
    <w:p w14:paraId="71C2E776" w14:textId="77777777" w:rsidR="00E956D9" w:rsidRPr="002C2CC0" w:rsidRDefault="00E956D9" w:rsidP="0058781F">
      <w:pPr>
        <w:pStyle w:val="NoSpacing"/>
        <w:numPr>
          <w:ilvl w:val="0"/>
          <w:numId w:val="6"/>
        </w:numPr>
        <w:rPr>
          <w:rFonts w:ascii="Arial" w:hAnsi="Arial" w:cs="Arial"/>
        </w:rPr>
      </w:pPr>
      <w:r w:rsidRPr="002C2CC0">
        <w:rPr>
          <w:rFonts w:ascii="Arial" w:hAnsi="Arial" w:cs="Arial"/>
        </w:rPr>
        <w:t>Keep disclosures to the absolute minimum, as necessary</w:t>
      </w:r>
    </w:p>
    <w:p w14:paraId="5D369FEA" w14:textId="77777777" w:rsidR="00E956D9" w:rsidRPr="002C2CC0" w:rsidRDefault="00E956D9" w:rsidP="00E956D9">
      <w:pPr>
        <w:pStyle w:val="NoSpacing"/>
        <w:rPr>
          <w:rFonts w:ascii="Arial" w:hAnsi="Arial" w:cs="Arial"/>
        </w:rPr>
      </w:pPr>
    </w:p>
    <w:p w14:paraId="13A1AC34" w14:textId="5E3E2572" w:rsidR="00E956D9" w:rsidRPr="002C2CC0" w:rsidRDefault="00E956D9" w:rsidP="0058781F">
      <w:pPr>
        <w:pStyle w:val="NoSpacing"/>
        <w:numPr>
          <w:ilvl w:val="0"/>
          <w:numId w:val="6"/>
        </w:numPr>
        <w:rPr>
          <w:rFonts w:ascii="Arial" w:hAnsi="Arial" w:cs="Arial"/>
        </w:rPr>
      </w:pPr>
      <w:r w:rsidRPr="002C2CC0">
        <w:rPr>
          <w:rFonts w:ascii="Arial" w:hAnsi="Arial" w:cs="Arial"/>
        </w:rPr>
        <w:t>Keep up to date with, and observe, all relevant legal requirements, including common law and data protection legislation</w:t>
      </w:r>
    </w:p>
    <w:p w14:paraId="3C57F259" w14:textId="77777777" w:rsidR="00E956D9" w:rsidRPr="002C2CC0" w:rsidRDefault="00E956D9" w:rsidP="00E956D9">
      <w:pPr>
        <w:pStyle w:val="NoSpacing"/>
        <w:rPr>
          <w:rFonts w:ascii="Arial" w:hAnsi="Arial" w:cs="Arial"/>
        </w:rPr>
      </w:pPr>
    </w:p>
    <w:p w14:paraId="1DD1CF0B" w14:textId="57615991" w:rsidR="00E956D9" w:rsidRPr="002C2CC0" w:rsidRDefault="00E956D9" w:rsidP="0058781F">
      <w:pPr>
        <w:pStyle w:val="NoSpacing"/>
        <w:numPr>
          <w:ilvl w:val="0"/>
          <w:numId w:val="6"/>
        </w:numPr>
        <w:rPr>
          <w:rFonts w:ascii="Arial" w:hAnsi="Arial" w:cs="Arial"/>
        </w:rPr>
      </w:pPr>
      <w:r w:rsidRPr="002C2CC0">
        <w:rPr>
          <w:rFonts w:ascii="Arial" w:hAnsi="Arial" w:cs="Arial"/>
        </w:rPr>
        <w:t xml:space="preserve">Respect and help patients </w:t>
      </w:r>
      <w:r w:rsidR="00AB58D2">
        <w:rPr>
          <w:rFonts w:ascii="Arial" w:hAnsi="Arial" w:cs="Arial"/>
        </w:rPr>
        <w:t xml:space="preserve">to </w:t>
      </w:r>
      <w:r w:rsidRPr="002C2CC0">
        <w:rPr>
          <w:rFonts w:ascii="Arial" w:hAnsi="Arial" w:cs="Arial"/>
        </w:rPr>
        <w:t>exercise their legal rights to</w:t>
      </w:r>
      <w:r w:rsidR="00B9454C" w:rsidRPr="002C2CC0">
        <w:rPr>
          <w:rFonts w:ascii="Arial" w:hAnsi="Arial" w:cs="Arial"/>
        </w:rPr>
        <w:t xml:space="preserve"> be </w:t>
      </w:r>
      <w:r w:rsidRPr="002C2CC0">
        <w:rPr>
          <w:rFonts w:ascii="Arial" w:hAnsi="Arial" w:cs="Arial"/>
        </w:rPr>
        <w:t>informed about how their information will be used</w:t>
      </w:r>
      <w:r w:rsidR="00B9454C" w:rsidRPr="002C2CC0">
        <w:rPr>
          <w:rFonts w:ascii="Arial" w:hAnsi="Arial" w:cs="Arial"/>
        </w:rPr>
        <w:t xml:space="preserve"> and h</w:t>
      </w:r>
      <w:r w:rsidRPr="002C2CC0">
        <w:rPr>
          <w:rFonts w:ascii="Arial" w:hAnsi="Arial" w:cs="Arial"/>
        </w:rPr>
        <w:t>ave access to, or copies of, their health records</w:t>
      </w:r>
    </w:p>
    <w:p w14:paraId="15008AE7" w14:textId="77777777" w:rsidR="00E956D9" w:rsidRPr="002C2CC0" w:rsidRDefault="00E956D9" w:rsidP="00E956D9">
      <w:pPr>
        <w:pStyle w:val="NoSpacing"/>
        <w:rPr>
          <w:rFonts w:ascii="Arial" w:hAnsi="Arial" w:cs="Arial"/>
        </w:rPr>
      </w:pPr>
    </w:p>
    <w:p w14:paraId="5B66EDB4" w14:textId="32E8CF63" w:rsidR="00E956D9" w:rsidRPr="002C2CC0" w:rsidRDefault="00E956D9" w:rsidP="00E956D9">
      <w:pPr>
        <w:pStyle w:val="NoSpacing"/>
        <w:rPr>
          <w:rFonts w:ascii="Arial" w:hAnsi="Arial" w:cs="Arial"/>
        </w:rPr>
      </w:pPr>
      <w:r w:rsidRPr="002C2CC0">
        <w:rPr>
          <w:rFonts w:ascii="Arial" w:hAnsi="Arial" w:cs="Arial"/>
        </w:rPr>
        <w:t xml:space="preserve">When the Caldicott Guardian </w:t>
      </w:r>
      <w:r w:rsidR="00B9454C" w:rsidRPr="002C2CC0">
        <w:rPr>
          <w:rFonts w:ascii="Arial" w:hAnsi="Arial" w:cs="Arial"/>
        </w:rPr>
        <w:t xml:space="preserve">(CG) </w:t>
      </w:r>
      <w:r w:rsidRPr="002C2CC0">
        <w:rPr>
          <w:rFonts w:ascii="Arial" w:hAnsi="Arial" w:cs="Arial"/>
        </w:rPr>
        <w:t xml:space="preserve">or Information Governance </w:t>
      </w:r>
      <w:r w:rsidR="00B9454C" w:rsidRPr="002C2CC0">
        <w:rPr>
          <w:rFonts w:ascii="Arial" w:hAnsi="Arial" w:cs="Arial"/>
        </w:rPr>
        <w:t xml:space="preserve">(IG) </w:t>
      </w:r>
      <w:r w:rsidRPr="002C2CC0">
        <w:rPr>
          <w:rFonts w:ascii="Arial" w:hAnsi="Arial" w:cs="Arial"/>
        </w:rPr>
        <w:t>Lead is satisfied that information should be released, this organisation should act promptly to disclose anything relevant. This is often essential in the best interests of the patient or to safeguard the wellbeing of others.</w:t>
      </w:r>
    </w:p>
    <w:p w14:paraId="27FDB275" w14:textId="77777777" w:rsidR="00B9454C" w:rsidRPr="002C2CC0" w:rsidRDefault="00B9454C" w:rsidP="00E956D9">
      <w:pPr>
        <w:pStyle w:val="NoSpacing"/>
        <w:rPr>
          <w:rFonts w:ascii="Arial" w:hAnsi="Arial" w:cs="Arial"/>
        </w:rPr>
      </w:pPr>
    </w:p>
    <w:p w14:paraId="0A1D4DC2" w14:textId="1EA321D8" w:rsidR="00B9454C" w:rsidRPr="002C2CC0" w:rsidRDefault="0061063B" w:rsidP="00E956D9">
      <w:pPr>
        <w:pStyle w:val="NoSpacing"/>
        <w:rPr>
          <w:rFonts w:ascii="Arial" w:hAnsi="Arial" w:cs="Arial"/>
        </w:rPr>
      </w:pPr>
      <w:r>
        <w:rPr>
          <w:rFonts w:ascii="Arial" w:hAnsi="Arial" w:cs="Arial"/>
        </w:rPr>
        <w:t xml:space="preserve">A </w:t>
      </w:r>
      <w:r w:rsidR="00B9454C" w:rsidRPr="002C2CC0">
        <w:rPr>
          <w:rFonts w:ascii="Arial" w:hAnsi="Arial" w:cs="Arial"/>
        </w:rPr>
        <w:t xml:space="preserve">comprehensive list of disclosures </w:t>
      </w:r>
      <w:r>
        <w:rPr>
          <w:rFonts w:ascii="Arial" w:hAnsi="Arial" w:cs="Arial"/>
        </w:rPr>
        <w:t xml:space="preserve">for the various types of scenarios and the requirements to release confidential information is detailed at </w:t>
      </w:r>
      <w:hyperlink w:anchor="_Annex_A_–_2" w:history="1">
        <w:r w:rsidRPr="0061063B">
          <w:rPr>
            <w:rStyle w:val="Hyperlink"/>
            <w:rFonts w:ascii="Arial" w:hAnsi="Arial" w:cs="Arial"/>
          </w:rPr>
          <w:t>Annex A</w:t>
        </w:r>
      </w:hyperlink>
      <w:r>
        <w:rPr>
          <w:rFonts w:ascii="Arial" w:hAnsi="Arial" w:cs="Arial"/>
        </w:rPr>
        <w:t>.</w:t>
      </w:r>
    </w:p>
    <w:p w14:paraId="36C25F92" w14:textId="02ADEB72" w:rsidR="00EF3294" w:rsidRPr="00AB58D2" w:rsidRDefault="00E956D9" w:rsidP="00EF3294">
      <w:pPr>
        <w:keepNext/>
        <w:keepLines/>
        <w:numPr>
          <w:ilvl w:val="1"/>
          <w:numId w:val="1"/>
        </w:numPr>
        <w:spacing w:before="360" w:line="259" w:lineRule="auto"/>
        <w:outlineLvl w:val="1"/>
        <w:rPr>
          <w:rFonts w:ascii="Arial" w:eastAsiaTheme="majorEastAsia" w:hAnsi="Arial" w:cs="Arial"/>
          <w:b/>
          <w:bCs/>
          <w:color w:val="000000" w:themeColor="text1"/>
        </w:rPr>
      </w:pPr>
      <w:bookmarkStart w:id="143" w:name="_Toc187231354"/>
      <w:bookmarkStart w:id="144" w:name="_Toc187231355"/>
      <w:bookmarkEnd w:id="143"/>
      <w:r w:rsidRPr="00AB58D2">
        <w:rPr>
          <w:rFonts w:ascii="Arial" w:eastAsiaTheme="majorEastAsia" w:hAnsi="Arial" w:cs="Arial"/>
          <w:b/>
          <w:bCs/>
          <w:color w:val="000000" w:themeColor="text1"/>
        </w:rPr>
        <w:t>Protecting information</w:t>
      </w:r>
      <w:bookmarkEnd w:id="144"/>
    </w:p>
    <w:p w14:paraId="48088B75" w14:textId="71965D8A" w:rsidR="00E956D9" w:rsidRPr="002C2CC0" w:rsidRDefault="00E956D9" w:rsidP="00EF3294">
      <w:pPr>
        <w:rPr>
          <w:rFonts w:ascii="Arial" w:hAnsi="Arial" w:cs="Arial"/>
          <w:sz w:val="22"/>
          <w:szCs w:val="22"/>
        </w:rPr>
      </w:pPr>
    </w:p>
    <w:p w14:paraId="1629D01D" w14:textId="0FF5AE6A" w:rsidR="00E956D9" w:rsidRPr="002C2CC0" w:rsidRDefault="00E956D9" w:rsidP="00E956D9">
      <w:pPr>
        <w:pStyle w:val="NoSpacing"/>
        <w:rPr>
          <w:rFonts w:ascii="Arial" w:hAnsi="Arial" w:cs="Arial"/>
        </w:rPr>
      </w:pPr>
      <w:r w:rsidRPr="002C2CC0">
        <w:rPr>
          <w:rFonts w:ascii="Arial" w:hAnsi="Arial" w:cs="Arial"/>
        </w:rPr>
        <w:t xml:space="preserve">Personal information about patients must be effectively protected against improper disclosure. Many disclosures are unintentional; </w:t>
      </w:r>
      <w:r w:rsidR="00B9454C" w:rsidRPr="002C2CC0">
        <w:rPr>
          <w:rFonts w:ascii="Arial" w:hAnsi="Arial" w:cs="Arial"/>
        </w:rPr>
        <w:t>therefore,</w:t>
      </w:r>
      <w:r w:rsidRPr="002C2CC0">
        <w:rPr>
          <w:rFonts w:ascii="Arial" w:hAnsi="Arial" w:cs="Arial"/>
        </w:rPr>
        <w:t xml:space="preserve"> staff should not discuss patients where they can be overheard, or leave patients’ records, either on paper or on screen, that can be seen by other patients, unauthorised healthcare staff or the public.</w:t>
      </w:r>
    </w:p>
    <w:p w14:paraId="5D21B077" w14:textId="77777777" w:rsidR="00E956D9" w:rsidRPr="002C2CC0" w:rsidRDefault="00E956D9" w:rsidP="00E956D9">
      <w:pPr>
        <w:pStyle w:val="NoSpacing"/>
        <w:rPr>
          <w:rFonts w:ascii="Arial" w:hAnsi="Arial" w:cs="Arial"/>
        </w:rPr>
      </w:pPr>
    </w:p>
    <w:p w14:paraId="53BA2E61" w14:textId="24D6E4FB" w:rsidR="00E956D9" w:rsidRPr="002C2CC0" w:rsidRDefault="00E956D9" w:rsidP="00E956D9">
      <w:pPr>
        <w:pStyle w:val="NoSpacing"/>
        <w:rPr>
          <w:rFonts w:ascii="Arial" w:hAnsi="Arial" w:cs="Arial"/>
        </w:rPr>
      </w:pPr>
      <w:r w:rsidRPr="002C2CC0">
        <w:rPr>
          <w:rFonts w:ascii="Arial" w:hAnsi="Arial" w:cs="Arial"/>
        </w:rPr>
        <w:t>Staff must:</w:t>
      </w:r>
    </w:p>
    <w:p w14:paraId="1793DAB9" w14:textId="77777777" w:rsidR="00E956D9" w:rsidRPr="002C2CC0" w:rsidRDefault="00E956D9" w:rsidP="00E956D9">
      <w:pPr>
        <w:pStyle w:val="NoSpacing"/>
        <w:rPr>
          <w:rFonts w:ascii="Arial" w:hAnsi="Arial" w:cs="Arial"/>
        </w:rPr>
      </w:pPr>
    </w:p>
    <w:p w14:paraId="09F54DA1" w14:textId="507DA768" w:rsidR="00E956D9" w:rsidRPr="002C2CC0" w:rsidRDefault="00E956D9" w:rsidP="0058781F">
      <w:pPr>
        <w:pStyle w:val="NoSpacing"/>
        <w:numPr>
          <w:ilvl w:val="0"/>
          <w:numId w:val="7"/>
        </w:numPr>
        <w:rPr>
          <w:rFonts w:ascii="Arial" w:hAnsi="Arial" w:cs="Arial"/>
        </w:rPr>
      </w:pPr>
      <w:r w:rsidRPr="002C2CC0">
        <w:rPr>
          <w:rFonts w:ascii="Arial" w:hAnsi="Arial" w:cs="Arial"/>
        </w:rPr>
        <w:t>Be conversant with IT systems, policies and procedures designed to protect patients’ privacy (including the use of laptops and portable media storage devices)</w:t>
      </w:r>
    </w:p>
    <w:p w14:paraId="220E63B8" w14:textId="77777777" w:rsidR="00B9454C" w:rsidRPr="002C2CC0" w:rsidRDefault="00B9454C" w:rsidP="00B9454C">
      <w:pPr>
        <w:pStyle w:val="NoSpacing"/>
        <w:ind w:left="720"/>
        <w:rPr>
          <w:rFonts w:ascii="Arial" w:hAnsi="Arial" w:cs="Arial"/>
        </w:rPr>
      </w:pPr>
    </w:p>
    <w:p w14:paraId="22AFC506" w14:textId="77777777" w:rsidR="00E956D9" w:rsidRPr="002C2CC0" w:rsidRDefault="00E956D9" w:rsidP="0058781F">
      <w:pPr>
        <w:pStyle w:val="NoSpacing"/>
        <w:numPr>
          <w:ilvl w:val="0"/>
          <w:numId w:val="7"/>
        </w:numPr>
        <w:rPr>
          <w:rFonts w:ascii="Arial" w:hAnsi="Arial" w:cs="Arial"/>
        </w:rPr>
      </w:pPr>
      <w:r w:rsidRPr="002C2CC0">
        <w:rPr>
          <w:rFonts w:ascii="Arial" w:hAnsi="Arial" w:cs="Arial"/>
        </w:rPr>
        <w:t>Avoid abusing access privileges</w:t>
      </w:r>
    </w:p>
    <w:p w14:paraId="4C263F1C" w14:textId="77777777" w:rsidR="00E956D9" w:rsidRPr="002C2CC0" w:rsidRDefault="00E956D9" w:rsidP="00E956D9">
      <w:pPr>
        <w:pStyle w:val="NoSpacing"/>
        <w:rPr>
          <w:rFonts w:ascii="Arial" w:hAnsi="Arial" w:cs="Arial"/>
        </w:rPr>
      </w:pPr>
    </w:p>
    <w:p w14:paraId="724FFD65" w14:textId="07DF0C9A" w:rsidR="00E956D9" w:rsidRPr="002C2CC0" w:rsidRDefault="00E956D9" w:rsidP="0058781F">
      <w:pPr>
        <w:pStyle w:val="NoSpacing"/>
        <w:numPr>
          <w:ilvl w:val="0"/>
          <w:numId w:val="7"/>
        </w:numPr>
        <w:rPr>
          <w:rFonts w:ascii="Arial" w:hAnsi="Arial" w:cs="Arial"/>
        </w:rPr>
      </w:pPr>
      <w:r w:rsidRPr="002C2CC0">
        <w:rPr>
          <w:rFonts w:ascii="Arial" w:hAnsi="Arial" w:cs="Arial"/>
        </w:rPr>
        <w:lastRenderedPageBreak/>
        <w:t xml:space="preserve">Only access information </w:t>
      </w:r>
      <w:r w:rsidR="00AB58D2">
        <w:rPr>
          <w:rFonts w:ascii="Arial" w:hAnsi="Arial" w:cs="Arial"/>
        </w:rPr>
        <w:t>that</w:t>
      </w:r>
      <w:r w:rsidRPr="002C2CC0">
        <w:rPr>
          <w:rFonts w:ascii="Arial" w:hAnsi="Arial" w:cs="Arial"/>
        </w:rPr>
        <w:t xml:space="preserve"> they have a legitimate reason to view</w:t>
      </w:r>
    </w:p>
    <w:p w14:paraId="01B8FEEF" w14:textId="77777777" w:rsidR="00E956D9" w:rsidRPr="002C2CC0" w:rsidRDefault="00E956D9" w:rsidP="00E956D9">
      <w:pPr>
        <w:pStyle w:val="NoSpacing"/>
        <w:rPr>
          <w:rFonts w:ascii="Arial" w:hAnsi="Arial" w:cs="Arial"/>
        </w:rPr>
      </w:pPr>
    </w:p>
    <w:p w14:paraId="3118D863" w14:textId="44F76E47" w:rsidR="00E956D9" w:rsidRPr="002C2CC0" w:rsidRDefault="00E956D9" w:rsidP="0058781F">
      <w:pPr>
        <w:pStyle w:val="NoSpacing"/>
        <w:numPr>
          <w:ilvl w:val="0"/>
          <w:numId w:val="7"/>
        </w:numPr>
        <w:rPr>
          <w:rFonts w:ascii="Arial" w:hAnsi="Arial" w:cs="Arial"/>
        </w:rPr>
      </w:pPr>
      <w:r w:rsidRPr="002C2CC0">
        <w:rPr>
          <w:rFonts w:ascii="Arial" w:hAnsi="Arial" w:cs="Arial"/>
        </w:rPr>
        <w:t xml:space="preserve">Raise concerns about patient safety, confidentiality and </w:t>
      </w:r>
      <w:r w:rsidR="00B9454C" w:rsidRPr="002C2CC0">
        <w:rPr>
          <w:rFonts w:ascii="Arial" w:hAnsi="Arial" w:cs="Arial"/>
        </w:rPr>
        <w:t>IG</w:t>
      </w:r>
      <w:r w:rsidRPr="002C2CC0">
        <w:rPr>
          <w:rFonts w:ascii="Arial" w:hAnsi="Arial" w:cs="Arial"/>
        </w:rPr>
        <w:t xml:space="preserve"> if issues about the security of personal information within this organisation are identified</w:t>
      </w:r>
    </w:p>
    <w:p w14:paraId="21322556" w14:textId="77777777" w:rsidR="00E956D9" w:rsidRPr="002C2CC0" w:rsidRDefault="00E956D9" w:rsidP="00E956D9">
      <w:pPr>
        <w:pStyle w:val="NoSpacing"/>
        <w:rPr>
          <w:rFonts w:ascii="Arial" w:hAnsi="Arial" w:cs="Arial"/>
        </w:rPr>
      </w:pPr>
    </w:p>
    <w:p w14:paraId="1BCF16C8" w14:textId="77777777" w:rsidR="00E956D9" w:rsidRPr="002C2CC0" w:rsidRDefault="00E956D9" w:rsidP="00E956D9">
      <w:pPr>
        <w:pStyle w:val="NoSpacing"/>
        <w:rPr>
          <w:rFonts w:ascii="Arial" w:hAnsi="Arial" w:cs="Arial"/>
        </w:rPr>
      </w:pPr>
      <w:r w:rsidRPr="002C2CC0">
        <w:rPr>
          <w:rFonts w:ascii="Arial" w:hAnsi="Arial" w:cs="Arial"/>
        </w:rPr>
        <w:t>Staff responsible for the management of patient records and information should:</w:t>
      </w:r>
    </w:p>
    <w:p w14:paraId="72A9B585" w14:textId="77777777" w:rsidR="00E956D9" w:rsidRPr="002C2CC0" w:rsidRDefault="00E956D9" w:rsidP="00E956D9">
      <w:pPr>
        <w:pStyle w:val="NoSpacing"/>
        <w:rPr>
          <w:rFonts w:ascii="Arial" w:hAnsi="Arial" w:cs="Arial"/>
        </w:rPr>
      </w:pPr>
    </w:p>
    <w:p w14:paraId="73A5985D" w14:textId="77777777" w:rsidR="00E956D9" w:rsidRPr="002C2CC0" w:rsidRDefault="00E956D9" w:rsidP="0058781F">
      <w:pPr>
        <w:pStyle w:val="NoSpacing"/>
        <w:numPr>
          <w:ilvl w:val="0"/>
          <w:numId w:val="8"/>
        </w:numPr>
        <w:rPr>
          <w:rFonts w:ascii="Arial" w:hAnsi="Arial" w:cs="Arial"/>
        </w:rPr>
      </w:pPr>
      <w:r w:rsidRPr="002C2CC0">
        <w:rPr>
          <w:rFonts w:ascii="Arial" w:hAnsi="Arial" w:cs="Arial"/>
        </w:rPr>
        <w:t>Ensure they are stored securely</w:t>
      </w:r>
    </w:p>
    <w:p w14:paraId="32D31B1A" w14:textId="77777777" w:rsidR="00E956D9" w:rsidRPr="002C2CC0" w:rsidRDefault="00E956D9" w:rsidP="00E956D9">
      <w:pPr>
        <w:pStyle w:val="NoSpacing"/>
        <w:ind w:left="720"/>
        <w:rPr>
          <w:rFonts w:ascii="Arial" w:hAnsi="Arial" w:cs="Arial"/>
        </w:rPr>
      </w:pPr>
    </w:p>
    <w:p w14:paraId="67C37CE6" w14:textId="77777777" w:rsidR="00E956D9" w:rsidRPr="002C2CC0" w:rsidRDefault="00E956D9" w:rsidP="0058781F">
      <w:pPr>
        <w:pStyle w:val="NoSpacing"/>
        <w:numPr>
          <w:ilvl w:val="0"/>
          <w:numId w:val="8"/>
        </w:numPr>
        <w:rPr>
          <w:rFonts w:ascii="Arial" w:hAnsi="Arial" w:cs="Arial"/>
        </w:rPr>
      </w:pPr>
      <w:r w:rsidRPr="002C2CC0">
        <w:rPr>
          <w:rFonts w:ascii="Arial" w:hAnsi="Arial" w:cs="Arial"/>
        </w:rPr>
        <w:t>Ensure relevant staff are trained and understand their responsibilities</w:t>
      </w:r>
    </w:p>
    <w:p w14:paraId="519B7632" w14:textId="77777777" w:rsidR="00E956D9" w:rsidRPr="002C2CC0" w:rsidRDefault="00E956D9" w:rsidP="00E956D9">
      <w:pPr>
        <w:pStyle w:val="NoSpacing"/>
        <w:rPr>
          <w:rFonts w:ascii="Arial" w:hAnsi="Arial" w:cs="Arial"/>
        </w:rPr>
      </w:pPr>
    </w:p>
    <w:p w14:paraId="5412328E" w14:textId="77777777" w:rsidR="00E956D9" w:rsidRPr="002C2CC0" w:rsidRDefault="00E956D9" w:rsidP="0058781F">
      <w:pPr>
        <w:pStyle w:val="NoSpacing"/>
        <w:numPr>
          <w:ilvl w:val="0"/>
          <w:numId w:val="8"/>
        </w:numPr>
        <w:rPr>
          <w:rFonts w:ascii="Arial" w:hAnsi="Arial" w:cs="Arial"/>
        </w:rPr>
      </w:pPr>
      <w:r w:rsidRPr="002C2CC0">
        <w:rPr>
          <w:rFonts w:ascii="Arial" w:hAnsi="Arial" w:cs="Arial"/>
        </w:rPr>
        <w:t>Use professional expertise when choosing or developing systems that record, access and send electronic data</w:t>
      </w:r>
    </w:p>
    <w:p w14:paraId="592A5BFC" w14:textId="77777777" w:rsidR="00E956D9" w:rsidRPr="002C2CC0" w:rsidRDefault="00E956D9" w:rsidP="00E956D9">
      <w:pPr>
        <w:pStyle w:val="NoSpacing"/>
        <w:rPr>
          <w:rFonts w:ascii="Arial" w:hAnsi="Arial" w:cs="Arial"/>
        </w:rPr>
      </w:pPr>
    </w:p>
    <w:p w14:paraId="45768B89" w14:textId="6BFE2F87" w:rsidR="00A81988" w:rsidRPr="00AB58D2" w:rsidRDefault="00E956D9" w:rsidP="0058781F">
      <w:pPr>
        <w:pStyle w:val="NoSpacing"/>
        <w:numPr>
          <w:ilvl w:val="0"/>
          <w:numId w:val="8"/>
        </w:numPr>
        <w:rPr>
          <w:rFonts w:ascii="Arial" w:hAnsi="Arial" w:cs="Arial"/>
        </w:rPr>
        <w:sectPr w:rsidR="00A81988" w:rsidRPr="00AB58D2" w:rsidSect="009A2C28">
          <w:headerReference w:type="default" r:id="rId14"/>
          <w:footerReference w:type="default" r:id="rId15"/>
          <w:headerReference w:type="first" r:id="rId16"/>
          <w:footerReference w:type="first" r:id="rId17"/>
          <w:pgSz w:w="11900" w:h="16820"/>
          <w:pgMar w:top="1440" w:right="1440" w:bottom="1440" w:left="1440" w:header="709" w:footer="709" w:gutter="0"/>
          <w:cols w:space="708"/>
          <w:titlePg/>
          <w:docGrid w:linePitch="360"/>
        </w:sectPr>
      </w:pPr>
      <w:r w:rsidRPr="002C2CC0">
        <w:rPr>
          <w:rFonts w:ascii="Arial" w:hAnsi="Arial" w:cs="Arial"/>
        </w:rPr>
        <w:t>Arrange for administrative (e.g., patient names and addresses) and clinical information to be accessed separately so that sensitive information is not automatically displayed when records are accessed</w:t>
      </w:r>
    </w:p>
    <w:p w14:paraId="11CB8DAD" w14:textId="77777777" w:rsidR="009A2C28" w:rsidRPr="002C2CC0" w:rsidRDefault="009A2C28" w:rsidP="009A2C28">
      <w:pPr>
        <w:pStyle w:val="Heading1"/>
        <w:keepLines/>
        <w:numPr>
          <w:ilvl w:val="0"/>
          <w:numId w:val="0"/>
        </w:numPr>
        <w:pBdr>
          <w:bottom w:val="single" w:sz="4" w:space="1" w:color="595959" w:themeColor="text1" w:themeTint="A6"/>
        </w:pBdr>
        <w:spacing w:before="360" w:after="160" w:line="259" w:lineRule="auto"/>
        <w:rPr>
          <w:sz w:val="28"/>
          <w:szCs w:val="28"/>
        </w:rPr>
      </w:pPr>
      <w:bookmarkStart w:id="145" w:name="_Toc187231356"/>
      <w:r w:rsidRPr="002C2CC0">
        <w:rPr>
          <w:sz w:val="28"/>
          <w:szCs w:val="28"/>
        </w:rPr>
        <w:lastRenderedPageBreak/>
        <w:t>Annex A – Disclosure requirements</w:t>
      </w:r>
      <w:bookmarkEnd w:id="145"/>
    </w:p>
    <w:p w14:paraId="4906D7F9" w14:textId="77777777" w:rsidR="009A2C28" w:rsidRPr="002C2CC0" w:rsidRDefault="009A2C28" w:rsidP="009A2C28">
      <w:pPr>
        <w:rPr>
          <w:rFonts w:ascii="Arial" w:hAnsi="Arial" w:cs="Arial"/>
          <w:sz w:val="22"/>
          <w:szCs w:val="22"/>
        </w:rPr>
      </w:pPr>
      <w:r w:rsidRPr="00E13F82">
        <w:rPr>
          <w:rFonts w:ascii="Arial" w:hAnsi="Arial" w:cs="Arial"/>
          <w:sz w:val="22"/>
          <w:szCs w:val="22"/>
        </w:rPr>
        <w:t xml:space="preserve">The following </w:t>
      </w:r>
      <w:r w:rsidRPr="002C2CC0">
        <w:rPr>
          <w:rFonts w:ascii="Arial" w:hAnsi="Arial" w:cs="Arial"/>
          <w:sz w:val="22"/>
          <w:szCs w:val="22"/>
        </w:rPr>
        <w:t>table details the various types of instances where a disclosure is required:</w:t>
      </w:r>
    </w:p>
    <w:p w14:paraId="26985927" w14:textId="77777777" w:rsidR="009A2C28" w:rsidRPr="002C2CC0" w:rsidRDefault="009A2C28" w:rsidP="009A2C28">
      <w:pPr>
        <w:rPr>
          <w:rFonts w:ascii="Arial" w:hAnsi="Arial" w:cs="Arial"/>
          <w:sz w:val="22"/>
          <w:szCs w:val="22"/>
        </w:rPr>
      </w:pPr>
    </w:p>
    <w:tbl>
      <w:tblPr>
        <w:tblStyle w:val="TableGrid"/>
        <w:tblW w:w="14029" w:type="dxa"/>
        <w:tblLook w:val="04A0" w:firstRow="1" w:lastRow="0" w:firstColumn="1" w:lastColumn="0" w:noHBand="0" w:noVBand="1"/>
      </w:tblPr>
      <w:tblGrid>
        <w:gridCol w:w="2830"/>
        <w:gridCol w:w="11199"/>
      </w:tblGrid>
      <w:tr w:rsidR="009A2C28" w:rsidRPr="0061063B" w14:paraId="24ECFBD2" w14:textId="77777777" w:rsidTr="00AB58D2">
        <w:tc>
          <w:tcPr>
            <w:tcW w:w="2830" w:type="dxa"/>
            <w:shd w:val="clear" w:color="auto" w:fill="4472C4" w:themeFill="accent1"/>
          </w:tcPr>
          <w:p w14:paraId="3DA10403" w14:textId="77777777" w:rsidR="009A2C28" w:rsidRPr="00E13F82" w:rsidRDefault="009A2C28" w:rsidP="00E13F82">
            <w:pPr>
              <w:snapToGrid w:val="0"/>
              <w:spacing w:before="120" w:after="120"/>
              <w:rPr>
                <w:rFonts w:ascii="Arial" w:hAnsi="Arial" w:cs="Arial"/>
                <w:b/>
                <w:bCs/>
                <w:color w:val="FFFFFF" w:themeColor="background1"/>
              </w:rPr>
            </w:pPr>
            <w:r w:rsidRPr="00E13F82">
              <w:rPr>
                <w:rFonts w:ascii="Arial" w:hAnsi="Arial" w:cs="Arial"/>
                <w:b/>
                <w:bCs/>
                <w:color w:val="FFFFFF" w:themeColor="background1"/>
              </w:rPr>
              <w:t xml:space="preserve">Circumstance </w:t>
            </w:r>
          </w:p>
        </w:tc>
        <w:tc>
          <w:tcPr>
            <w:tcW w:w="11199" w:type="dxa"/>
            <w:shd w:val="clear" w:color="auto" w:fill="4472C4" w:themeFill="accent1"/>
          </w:tcPr>
          <w:p w14:paraId="6523AE92" w14:textId="77777777" w:rsidR="009A2C28" w:rsidRPr="00E13F82" w:rsidRDefault="009A2C28" w:rsidP="00E13F82">
            <w:pPr>
              <w:snapToGrid w:val="0"/>
              <w:spacing w:before="120" w:after="120"/>
              <w:rPr>
                <w:rFonts w:ascii="Arial" w:hAnsi="Arial" w:cs="Arial"/>
                <w:b/>
                <w:bCs/>
                <w:color w:val="FFFFFF" w:themeColor="background1"/>
              </w:rPr>
            </w:pPr>
            <w:r w:rsidRPr="00E13F82">
              <w:rPr>
                <w:rFonts w:ascii="Arial" w:hAnsi="Arial" w:cs="Arial"/>
                <w:b/>
                <w:bCs/>
                <w:color w:val="FFFFFF" w:themeColor="background1"/>
              </w:rPr>
              <w:t>Detail</w:t>
            </w:r>
          </w:p>
        </w:tc>
      </w:tr>
      <w:tr w:rsidR="009A2C28" w:rsidRPr="009A2C28" w14:paraId="42BB2E92" w14:textId="77777777" w:rsidTr="00AB58D2">
        <w:tc>
          <w:tcPr>
            <w:tcW w:w="14029" w:type="dxa"/>
            <w:gridSpan w:val="2"/>
          </w:tcPr>
          <w:p w14:paraId="32856688" w14:textId="77777777" w:rsidR="009A2C28" w:rsidRPr="00AB58D2" w:rsidRDefault="009A2C28" w:rsidP="00AB58D2">
            <w:pPr>
              <w:pStyle w:val="NoSpacing"/>
              <w:snapToGrid w:val="0"/>
              <w:spacing w:before="120" w:after="120"/>
              <w:ind w:left="28"/>
              <w:rPr>
                <w:rFonts w:ascii="Arial" w:hAnsi="Arial" w:cs="Arial"/>
                <w:b/>
                <w:bCs/>
                <w:sz w:val="24"/>
                <w:szCs w:val="24"/>
              </w:rPr>
            </w:pPr>
            <w:r w:rsidRPr="00AB58D2">
              <w:rPr>
                <w:rFonts w:ascii="Arial" w:hAnsi="Arial" w:cs="Arial"/>
                <w:b/>
                <w:bCs/>
                <w:sz w:val="24"/>
                <w:szCs w:val="24"/>
              </w:rPr>
              <w:t>Disclosures required by law</w:t>
            </w:r>
          </w:p>
        </w:tc>
      </w:tr>
      <w:tr w:rsidR="009A2C28" w:rsidRPr="002C2CC0" w14:paraId="6ECCBEF4" w14:textId="77777777" w:rsidTr="00AB58D2">
        <w:tc>
          <w:tcPr>
            <w:tcW w:w="2830" w:type="dxa"/>
          </w:tcPr>
          <w:p w14:paraId="21F6759A" w14:textId="77777777" w:rsidR="009A2C28" w:rsidRPr="002C2CC0" w:rsidRDefault="009A2C28" w:rsidP="00E13F82">
            <w:pPr>
              <w:snapToGrid w:val="0"/>
              <w:rPr>
                <w:rFonts w:ascii="Arial" w:hAnsi="Arial" w:cs="Arial"/>
                <w:sz w:val="22"/>
                <w:szCs w:val="22"/>
              </w:rPr>
            </w:pPr>
            <w:r w:rsidRPr="002C2CC0">
              <w:rPr>
                <w:rFonts w:ascii="Arial" w:hAnsi="Arial" w:cs="Arial"/>
                <w:sz w:val="22"/>
                <w:szCs w:val="22"/>
              </w:rPr>
              <w:t>Disclosures required by statute</w:t>
            </w:r>
          </w:p>
        </w:tc>
        <w:tc>
          <w:tcPr>
            <w:tcW w:w="11199" w:type="dxa"/>
          </w:tcPr>
          <w:p w14:paraId="070A5144" w14:textId="77777777" w:rsidR="009A2C28" w:rsidRPr="002C2CC0" w:rsidRDefault="009A2C28" w:rsidP="00E13F82">
            <w:pPr>
              <w:pStyle w:val="NoSpacing"/>
              <w:snapToGrid w:val="0"/>
              <w:ind w:left="28"/>
              <w:rPr>
                <w:rFonts w:ascii="Arial" w:hAnsi="Arial" w:cs="Arial"/>
              </w:rPr>
            </w:pPr>
            <w:r w:rsidRPr="002C2CC0">
              <w:rPr>
                <w:rFonts w:ascii="Arial" w:hAnsi="Arial" w:cs="Arial"/>
              </w:rPr>
              <w:t>This organisation must disclose information to satisfy a specific statutory requirement, such as notification of a known or suspected communicable disease. Many regulatory bodies have statutory powers to access patients’ records (e.g., as part of their duties to investigate complaints, accidents or health professionals’ fitness to practice) and have codes of practice governing how they will access and use personal information.</w:t>
            </w:r>
          </w:p>
          <w:p w14:paraId="31DC59A6" w14:textId="77777777" w:rsidR="009A2C28" w:rsidRPr="002C2CC0" w:rsidRDefault="009A2C28" w:rsidP="00E13F82">
            <w:pPr>
              <w:pStyle w:val="NoSpacing"/>
              <w:snapToGrid w:val="0"/>
              <w:ind w:left="28"/>
              <w:rPr>
                <w:rFonts w:ascii="Arial" w:hAnsi="Arial" w:cs="Arial"/>
              </w:rPr>
            </w:pPr>
          </w:p>
          <w:p w14:paraId="6D67F4C4" w14:textId="163735F1" w:rsidR="009A2C28" w:rsidRPr="002C2CC0" w:rsidRDefault="009A2C28" w:rsidP="00E13F82">
            <w:pPr>
              <w:pStyle w:val="NoSpacing"/>
              <w:snapToGrid w:val="0"/>
              <w:ind w:left="28"/>
              <w:rPr>
                <w:rFonts w:ascii="Arial" w:hAnsi="Arial" w:cs="Arial"/>
              </w:rPr>
            </w:pPr>
            <w:r w:rsidRPr="002C2CC0">
              <w:rPr>
                <w:rFonts w:ascii="Arial" w:hAnsi="Arial" w:cs="Arial"/>
              </w:rPr>
              <w:t>The C</w:t>
            </w:r>
            <w:r w:rsidR="007E3C3B">
              <w:rPr>
                <w:rFonts w:ascii="Arial" w:hAnsi="Arial" w:cs="Arial"/>
              </w:rPr>
              <w:t>aldicott Guardian (C</w:t>
            </w:r>
            <w:r w:rsidRPr="002C2CC0">
              <w:rPr>
                <w:rFonts w:ascii="Arial" w:hAnsi="Arial" w:cs="Arial"/>
              </w:rPr>
              <w:t>G</w:t>
            </w:r>
            <w:r w:rsidR="007E3C3B">
              <w:rPr>
                <w:rFonts w:ascii="Arial" w:hAnsi="Arial" w:cs="Arial"/>
              </w:rPr>
              <w:t>)</w:t>
            </w:r>
            <w:r w:rsidRPr="002C2CC0">
              <w:rPr>
                <w:rFonts w:ascii="Arial" w:hAnsi="Arial" w:cs="Arial"/>
              </w:rPr>
              <w:t xml:space="preserve"> should be satisfied that any disclosure sought is required by law or can be justified as in the public interest. Patients should be informed about such disclosures (unless that would undermine the purpose) even if their consent is not required.</w:t>
            </w:r>
          </w:p>
          <w:p w14:paraId="4825FDA3" w14:textId="77777777" w:rsidR="009A2C28" w:rsidRPr="002C2CC0" w:rsidRDefault="009A2C28" w:rsidP="00E13F82">
            <w:pPr>
              <w:pStyle w:val="NoSpacing"/>
              <w:snapToGrid w:val="0"/>
              <w:ind w:left="28"/>
              <w:rPr>
                <w:rFonts w:ascii="Arial" w:hAnsi="Arial" w:cs="Arial"/>
              </w:rPr>
            </w:pPr>
          </w:p>
          <w:p w14:paraId="7480288F" w14:textId="77777777" w:rsidR="009A2C28" w:rsidRPr="002C2CC0" w:rsidRDefault="009A2C28" w:rsidP="00E13F82">
            <w:pPr>
              <w:pStyle w:val="NoSpacing"/>
              <w:snapToGrid w:val="0"/>
              <w:ind w:left="28"/>
              <w:rPr>
                <w:rFonts w:ascii="Arial" w:hAnsi="Arial" w:cs="Arial"/>
              </w:rPr>
            </w:pPr>
            <w:r w:rsidRPr="002C2CC0">
              <w:rPr>
                <w:rFonts w:ascii="Arial" w:hAnsi="Arial" w:cs="Arial"/>
              </w:rPr>
              <w:t xml:space="preserve">Should patient clinical records or personal information be requested, but is not required by law (e.g., by a statutory regulator to investigate a healthcare professional’s fitness to practice) the patient’s express consent must be sought, if practicable, before disclosure. </w:t>
            </w:r>
          </w:p>
          <w:p w14:paraId="73A0E7B0" w14:textId="77777777" w:rsidR="009A2C28" w:rsidRPr="002C2CC0" w:rsidRDefault="009A2C28" w:rsidP="00E13F82">
            <w:pPr>
              <w:pStyle w:val="NoSpacing"/>
              <w:snapToGrid w:val="0"/>
              <w:ind w:left="28"/>
              <w:rPr>
                <w:rFonts w:ascii="Arial" w:hAnsi="Arial" w:cs="Arial"/>
              </w:rPr>
            </w:pPr>
          </w:p>
          <w:p w14:paraId="7EE540F2" w14:textId="77777777" w:rsidR="009A2C28" w:rsidRPr="002C2CC0" w:rsidRDefault="009A2C28" w:rsidP="00E13F82">
            <w:pPr>
              <w:pStyle w:val="NoSpacing"/>
              <w:snapToGrid w:val="0"/>
              <w:ind w:left="28"/>
              <w:rPr>
                <w:rFonts w:ascii="Arial" w:hAnsi="Arial" w:cs="Arial"/>
              </w:rPr>
            </w:pPr>
            <w:r w:rsidRPr="002C2CC0">
              <w:rPr>
                <w:rFonts w:ascii="Arial" w:hAnsi="Arial" w:cs="Arial"/>
              </w:rPr>
              <w:t>If it is not practicable to seek their consent, or should a patient refuses to give their consent, the regulatory body involved should be contacted to advise as to whether the disclosure can be justified in the public interest.</w:t>
            </w:r>
          </w:p>
          <w:p w14:paraId="3BF9876A" w14:textId="77777777" w:rsidR="009A2C28" w:rsidRPr="002C2CC0" w:rsidRDefault="009A2C28" w:rsidP="00E13F82">
            <w:pPr>
              <w:pStyle w:val="NoSpacing"/>
              <w:snapToGrid w:val="0"/>
              <w:ind w:left="28"/>
              <w:rPr>
                <w:rFonts w:ascii="Arial" w:hAnsi="Arial" w:cs="Arial"/>
              </w:rPr>
            </w:pPr>
          </w:p>
        </w:tc>
      </w:tr>
      <w:tr w:rsidR="009A2C28" w:rsidRPr="002C2CC0" w14:paraId="11356D61" w14:textId="77777777" w:rsidTr="009A2C28">
        <w:tc>
          <w:tcPr>
            <w:tcW w:w="2830" w:type="dxa"/>
          </w:tcPr>
          <w:p w14:paraId="3FC6817D" w14:textId="77777777" w:rsidR="009A2C28" w:rsidRPr="002C2CC0" w:rsidRDefault="009A2C28" w:rsidP="00E13F82">
            <w:pPr>
              <w:snapToGrid w:val="0"/>
              <w:rPr>
                <w:rFonts w:ascii="Arial" w:hAnsi="Arial" w:cs="Arial"/>
                <w:sz w:val="22"/>
                <w:szCs w:val="22"/>
              </w:rPr>
            </w:pPr>
            <w:r w:rsidRPr="002C2CC0">
              <w:rPr>
                <w:rFonts w:ascii="Arial" w:hAnsi="Arial" w:cs="Arial"/>
                <w:sz w:val="22"/>
                <w:szCs w:val="22"/>
              </w:rPr>
              <w:t>Disclosures to court in connection with litigation</w:t>
            </w:r>
          </w:p>
        </w:tc>
        <w:tc>
          <w:tcPr>
            <w:tcW w:w="11199" w:type="dxa"/>
          </w:tcPr>
          <w:p w14:paraId="3D627326" w14:textId="77777777" w:rsidR="009A2C28" w:rsidRPr="002C2CC0" w:rsidRDefault="009A2C28" w:rsidP="00E13F82">
            <w:pPr>
              <w:pStyle w:val="NoSpacing"/>
              <w:snapToGrid w:val="0"/>
              <w:ind w:left="28"/>
              <w:rPr>
                <w:rFonts w:ascii="Arial" w:hAnsi="Arial" w:cs="Arial"/>
              </w:rPr>
            </w:pPr>
            <w:r w:rsidRPr="002C2CC0">
              <w:rPr>
                <w:rFonts w:ascii="Arial" w:hAnsi="Arial" w:cs="Arial"/>
              </w:rPr>
              <w:t>This organisation must also disclose information if ordered to do so by a judge or presiding officer of a court. The CG should object to the judge or the presiding officer if attempts are made to compel this organisation to disclose what appear to be irrelevant matters, (e.g., matters relating to relatives who are not involved in the proceedings).</w:t>
            </w:r>
          </w:p>
          <w:p w14:paraId="04E85160" w14:textId="77777777" w:rsidR="009A2C28" w:rsidRPr="002C2CC0" w:rsidRDefault="009A2C28" w:rsidP="00E13F82">
            <w:pPr>
              <w:pStyle w:val="NoSpacing"/>
              <w:snapToGrid w:val="0"/>
              <w:ind w:left="28"/>
              <w:rPr>
                <w:rFonts w:ascii="Arial" w:hAnsi="Arial" w:cs="Arial"/>
              </w:rPr>
            </w:pPr>
          </w:p>
          <w:p w14:paraId="5F8677CF" w14:textId="77777777" w:rsidR="009A2C28" w:rsidRDefault="009A2C28" w:rsidP="00E13F82">
            <w:pPr>
              <w:pStyle w:val="NoSpacing"/>
              <w:snapToGrid w:val="0"/>
              <w:ind w:left="28"/>
              <w:rPr>
                <w:rFonts w:ascii="Arial" w:hAnsi="Arial" w:cs="Arial"/>
              </w:rPr>
            </w:pPr>
            <w:r w:rsidRPr="002C2CC0">
              <w:rPr>
                <w:rFonts w:ascii="Arial" w:hAnsi="Arial" w:cs="Arial"/>
              </w:rPr>
              <w:t>Personal information must not be disclosed to a third party such as a solicitor, police officer or officer of a court without the patient’s express consent, unless it is required by law or can be justified as in the public interest.</w:t>
            </w:r>
          </w:p>
          <w:p w14:paraId="44AF3949" w14:textId="77777777" w:rsidR="009A2C28" w:rsidRPr="002C2CC0" w:rsidRDefault="009A2C28" w:rsidP="00AB58D2">
            <w:pPr>
              <w:pStyle w:val="NoSpacing"/>
              <w:snapToGrid w:val="0"/>
              <w:rPr>
                <w:rFonts w:ascii="Arial" w:hAnsi="Arial" w:cs="Arial"/>
              </w:rPr>
            </w:pPr>
          </w:p>
        </w:tc>
      </w:tr>
      <w:tr w:rsidR="009A2C28" w:rsidRPr="009A2C28" w14:paraId="477D3259" w14:textId="77777777" w:rsidTr="009A2C28">
        <w:tc>
          <w:tcPr>
            <w:tcW w:w="14029" w:type="dxa"/>
            <w:gridSpan w:val="2"/>
          </w:tcPr>
          <w:p w14:paraId="49B1DD22" w14:textId="77777777" w:rsidR="009A2C28" w:rsidRPr="00AB58D2" w:rsidRDefault="009A2C28" w:rsidP="00AB58D2">
            <w:pPr>
              <w:pStyle w:val="NoSpacing"/>
              <w:snapToGrid w:val="0"/>
              <w:spacing w:before="120" w:after="120"/>
              <w:ind w:left="28"/>
              <w:rPr>
                <w:rFonts w:ascii="Arial" w:hAnsi="Arial" w:cs="Arial"/>
                <w:b/>
                <w:bCs/>
                <w:sz w:val="24"/>
                <w:szCs w:val="24"/>
              </w:rPr>
            </w:pPr>
            <w:r w:rsidRPr="00AB58D2">
              <w:rPr>
                <w:rFonts w:ascii="Arial" w:hAnsi="Arial" w:cs="Arial"/>
                <w:b/>
                <w:bCs/>
                <w:sz w:val="24"/>
                <w:szCs w:val="24"/>
              </w:rPr>
              <w:lastRenderedPageBreak/>
              <w:t>Disclosing information with consent</w:t>
            </w:r>
          </w:p>
        </w:tc>
      </w:tr>
      <w:tr w:rsidR="009A2C28" w:rsidRPr="002C2CC0" w14:paraId="17F202D9" w14:textId="77777777" w:rsidTr="009A2C28">
        <w:tc>
          <w:tcPr>
            <w:tcW w:w="2830" w:type="dxa"/>
          </w:tcPr>
          <w:p w14:paraId="290167BC" w14:textId="4A686748" w:rsidR="009A2C28" w:rsidRPr="00E13F82" w:rsidRDefault="009A2C28" w:rsidP="00E13F82">
            <w:pPr>
              <w:pStyle w:val="NoSpacing"/>
              <w:snapToGrid w:val="0"/>
              <w:rPr>
                <w:rFonts w:ascii="Arial" w:hAnsi="Arial" w:cs="Arial"/>
              </w:rPr>
            </w:pPr>
            <w:r w:rsidRPr="00E13F82">
              <w:rPr>
                <w:rFonts w:ascii="Arial" w:hAnsi="Arial" w:cs="Arial"/>
              </w:rPr>
              <w:t xml:space="preserve">Sharing information within the healthcare team or with others </w:t>
            </w:r>
            <w:r>
              <w:rPr>
                <w:rFonts w:ascii="Arial" w:hAnsi="Arial" w:cs="Arial"/>
              </w:rPr>
              <w:t xml:space="preserve">that </w:t>
            </w:r>
            <w:r w:rsidRPr="00E13F82">
              <w:rPr>
                <w:rFonts w:ascii="Arial" w:hAnsi="Arial" w:cs="Arial"/>
              </w:rPr>
              <w:t>provid</w:t>
            </w:r>
            <w:r>
              <w:rPr>
                <w:rFonts w:ascii="Arial" w:hAnsi="Arial" w:cs="Arial"/>
              </w:rPr>
              <w:t>e</w:t>
            </w:r>
            <w:r w:rsidRPr="00E13F82">
              <w:rPr>
                <w:rFonts w:ascii="Arial" w:hAnsi="Arial" w:cs="Arial"/>
              </w:rPr>
              <w:t xml:space="preserve"> care</w:t>
            </w:r>
          </w:p>
          <w:p w14:paraId="35F56440" w14:textId="77777777" w:rsidR="009A2C28" w:rsidRPr="002C2CC0" w:rsidRDefault="009A2C28" w:rsidP="00E13F82">
            <w:pPr>
              <w:snapToGrid w:val="0"/>
              <w:rPr>
                <w:rFonts w:ascii="Arial" w:hAnsi="Arial" w:cs="Arial"/>
                <w:sz w:val="22"/>
                <w:szCs w:val="22"/>
              </w:rPr>
            </w:pPr>
          </w:p>
        </w:tc>
        <w:tc>
          <w:tcPr>
            <w:tcW w:w="11199" w:type="dxa"/>
          </w:tcPr>
          <w:p w14:paraId="2213B3A2" w14:textId="77777777" w:rsidR="009A2C28" w:rsidRPr="002C2CC0" w:rsidRDefault="009A2C28" w:rsidP="00E13F82">
            <w:pPr>
              <w:pStyle w:val="NoSpacing"/>
              <w:snapToGrid w:val="0"/>
              <w:rPr>
                <w:rFonts w:ascii="Arial" w:hAnsi="Arial" w:cs="Arial"/>
              </w:rPr>
            </w:pPr>
            <w:r w:rsidRPr="002C2CC0">
              <w:rPr>
                <w:rFonts w:ascii="Arial" w:hAnsi="Arial" w:cs="Arial"/>
              </w:rPr>
              <w:t xml:space="preserve">Most patients understand and accept that information must be shared within healthcare to provide their care. </w:t>
            </w:r>
          </w:p>
          <w:p w14:paraId="68DF1328" w14:textId="77777777" w:rsidR="009A2C28" w:rsidRPr="002C2CC0" w:rsidRDefault="009A2C28" w:rsidP="00E13F82">
            <w:pPr>
              <w:pStyle w:val="NoSpacing"/>
              <w:snapToGrid w:val="0"/>
              <w:ind w:left="29"/>
              <w:rPr>
                <w:rFonts w:ascii="Arial" w:hAnsi="Arial" w:cs="Arial"/>
              </w:rPr>
            </w:pPr>
          </w:p>
          <w:p w14:paraId="50EEE668" w14:textId="77777777" w:rsidR="009A2C28" w:rsidRPr="002C2CC0" w:rsidRDefault="009A2C28" w:rsidP="00E13F82">
            <w:pPr>
              <w:pStyle w:val="NoSpacing"/>
              <w:snapToGrid w:val="0"/>
              <w:rPr>
                <w:rFonts w:ascii="Arial" w:hAnsi="Arial" w:cs="Arial"/>
              </w:rPr>
            </w:pPr>
            <w:r w:rsidRPr="002C2CC0">
              <w:rPr>
                <w:rFonts w:ascii="Arial" w:hAnsi="Arial" w:cs="Arial"/>
              </w:rPr>
              <w:t>This organisation should ensure that patients are aware that personal information about them will be shared within the organisation (including administrative and other supporting staff) unless they object. Generating awareness can take several forms (e.g., leaflets, posters, websites and face-to-face) but should be tailored to the patients’ identified needs wherever practicable.</w:t>
            </w:r>
          </w:p>
          <w:p w14:paraId="780A0DCD" w14:textId="77777777" w:rsidR="009A2C28" w:rsidRPr="002C2CC0" w:rsidRDefault="009A2C28" w:rsidP="00E13F82">
            <w:pPr>
              <w:pStyle w:val="NoSpacing"/>
              <w:snapToGrid w:val="0"/>
              <w:rPr>
                <w:rFonts w:ascii="Arial" w:hAnsi="Arial" w:cs="Arial"/>
              </w:rPr>
            </w:pPr>
            <w:r w:rsidRPr="002C2CC0">
              <w:rPr>
                <w:rFonts w:ascii="Arial" w:hAnsi="Arial" w:cs="Arial"/>
              </w:rPr>
              <w:t>This organisation must respect the wishes of any patient who objects to specific information being shared within the healthcare team or others providing care unless disclosure would be justified in the public interest.</w:t>
            </w:r>
          </w:p>
          <w:p w14:paraId="34C07280" w14:textId="77777777" w:rsidR="009A2C28" w:rsidRPr="002C2CC0" w:rsidRDefault="009A2C28" w:rsidP="00E13F82">
            <w:pPr>
              <w:pStyle w:val="NoSpacing"/>
              <w:snapToGrid w:val="0"/>
              <w:rPr>
                <w:rFonts w:ascii="Arial" w:hAnsi="Arial" w:cs="Arial"/>
              </w:rPr>
            </w:pPr>
          </w:p>
          <w:p w14:paraId="55F56A3F" w14:textId="77777777" w:rsidR="009A2C28" w:rsidRPr="002C2CC0" w:rsidRDefault="009A2C28" w:rsidP="00E13F82">
            <w:pPr>
              <w:pStyle w:val="NoSpacing"/>
              <w:snapToGrid w:val="0"/>
              <w:rPr>
                <w:rFonts w:ascii="Arial" w:hAnsi="Arial" w:cs="Arial"/>
              </w:rPr>
            </w:pPr>
            <w:r w:rsidRPr="002C2CC0">
              <w:rPr>
                <w:rFonts w:ascii="Arial" w:hAnsi="Arial" w:cs="Arial"/>
              </w:rPr>
              <w:t>Should a patient object to a disclosure that is essential to the provision of safe care, it should be explained to them by the CG or the designated deputy that unless that information is disclosed, they cannot be referred, nor can their treatment be arranged.</w:t>
            </w:r>
          </w:p>
          <w:p w14:paraId="42F9D33F" w14:textId="77777777" w:rsidR="009A2C28" w:rsidRPr="002C2CC0" w:rsidRDefault="009A2C28" w:rsidP="00E13F82">
            <w:pPr>
              <w:pStyle w:val="NoSpacing"/>
              <w:snapToGrid w:val="0"/>
              <w:rPr>
                <w:rFonts w:ascii="Arial" w:hAnsi="Arial" w:cs="Arial"/>
              </w:rPr>
            </w:pPr>
          </w:p>
          <w:p w14:paraId="613CCCDF" w14:textId="012769FB" w:rsidR="009A2C28" w:rsidRPr="002C2CC0" w:rsidRDefault="009A2C28" w:rsidP="00E13F82">
            <w:pPr>
              <w:pStyle w:val="NoSpacing"/>
              <w:snapToGrid w:val="0"/>
              <w:rPr>
                <w:rFonts w:ascii="Arial" w:hAnsi="Arial" w:cs="Arial"/>
              </w:rPr>
            </w:pPr>
            <w:r w:rsidRPr="002C2CC0">
              <w:rPr>
                <w:rFonts w:ascii="Arial" w:hAnsi="Arial" w:cs="Arial"/>
              </w:rPr>
              <w:t>The organisation must make sure that anyone to whom they disclose personal information understands that it is given to them in confidence which they must respect. All staff members receiving personal information to provide or support care are bound by a legal duty of confidence, whether they have contractual or professional obligations to protect confidentiality</w:t>
            </w:r>
            <w:r w:rsidR="007E3C3B">
              <w:rPr>
                <w:rFonts w:ascii="Arial" w:hAnsi="Arial" w:cs="Arial"/>
              </w:rPr>
              <w:t xml:space="preserve">. </w:t>
            </w:r>
            <w:r w:rsidRPr="002C2CC0">
              <w:rPr>
                <w:rFonts w:ascii="Arial" w:hAnsi="Arial" w:cs="Arial"/>
              </w:rPr>
              <w:t xml:space="preserve">Circumstances may arise where a patient cannot be informed about the disclosure of information, for example because of a medical emergency. In these cases, this organisation must pass relevant information promptly to those providing the patient’s care. </w:t>
            </w:r>
          </w:p>
          <w:p w14:paraId="748C79A6" w14:textId="77777777" w:rsidR="009A2C28" w:rsidRPr="002C2CC0" w:rsidRDefault="009A2C28" w:rsidP="00E13F82">
            <w:pPr>
              <w:pStyle w:val="NoSpacing"/>
              <w:snapToGrid w:val="0"/>
              <w:rPr>
                <w:rFonts w:ascii="Arial" w:hAnsi="Arial" w:cs="Arial"/>
              </w:rPr>
            </w:pPr>
          </w:p>
          <w:p w14:paraId="4C23D20F" w14:textId="77777777" w:rsidR="009A2C28" w:rsidRPr="002C2CC0" w:rsidRDefault="009A2C28" w:rsidP="00E13F82">
            <w:pPr>
              <w:pStyle w:val="NoSpacing"/>
              <w:snapToGrid w:val="0"/>
              <w:rPr>
                <w:rFonts w:ascii="Arial" w:hAnsi="Arial" w:cs="Arial"/>
              </w:rPr>
            </w:pPr>
            <w:r w:rsidRPr="002C2CC0">
              <w:rPr>
                <w:rFonts w:ascii="Arial" w:hAnsi="Arial" w:cs="Arial"/>
              </w:rPr>
              <w:t>As and when the patient is capable of understanding, they should be informed how their personal information was disclosed, if it were in a way they would not reasonably expect.</w:t>
            </w:r>
          </w:p>
          <w:p w14:paraId="153E73ED" w14:textId="77777777" w:rsidR="009A2C28" w:rsidRPr="002C2CC0" w:rsidRDefault="009A2C28" w:rsidP="00E13F82">
            <w:pPr>
              <w:pStyle w:val="NoSpacing"/>
              <w:snapToGrid w:val="0"/>
              <w:ind w:left="29"/>
              <w:rPr>
                <w:rFonts w:ascii="Arial" w:hAnsi="Arial" w:cs="Arial"/>
              </w:rPr>
            </w:pPr>
          </w:p>
        </w:tc>
      </w:tr>
      <w:tr w:rsidR="009A2C28" w:rsidRPr="002C2CC0" w14:paraId="5BD82AE4" w14:textId="77777777" w:rsidTr="009A2C28">
        <w:tc>
          <w:tcPr>
            <w:tcW w:w="2830" w:type="dxa"/>
          </w:tcPr>
          <w:p w14:paraId="3A63F7B4" w14:textId="77777777" w:rsidR="009A2C28" w:rsidRPr="002C2CC0" w:rsidRDefault="009A2C28" w:rsidP="00E13F82">
            <w:pPr>
              <w:snapToGrid w:val="0"/>
              <w:rPr>
                <w:rFonts w:ascii="Arial" w:hAnsi="Arial" w:cs="Arial"/>
                <w:sz w:val="22"/>
                <w:szCs w:val="22"/>
              </w:rPr>
            </w:pPr>
            <w:r w:rsidRPr="002C2CC0">
              <w:rPr>
                <w:rFonts w:ascii="Arial" w:hAnsi="Arial" w:cs="Arial"/>
                <w:sz w:val="22"/>
                <w:szCs w:val="22"/>
              </w:rPr>
              <w:t>Local clinical audit</w:t>
            </w:r>
          </w:p>
        </w:tc>
        <w:tc>
          <w:tcPr>
            <w:tcW w:w="11199" w:type="dxa"/>
          </w:tcPr>
          <w:p w14:paraId="28228910" w14:textId="77777777" w:rsidR="009A2C28" w:rsidRPr="002C2CC0" w:rsidRDefault="009A2C28" w:rsidP="00E13F82">
            <w:pPr>
              <w:pStyle w:val="NoSpacing"/>
              <w:snapToGrid w:val="0"/>
              <w:rPr>
                <w:rFonts w:ascii="Arial" w:hAnsi="Arial" w:cs="Arial"/>
              </w:rPr>
            </w:pPr>
            <w:r w:rsidRPr="002C2CC0">
              <w:rPr>
                <w:rFonts w:ascii="Arial" w:hAnsi="Arial" w:cs="Arial"/>
              </w:rPr>
              <w:t>Clinical audit is essential to the provision of good care. All clinicians in clinical practice have a duty to participate in clinical audit and to contribute to National Confidential Inquiries.</w:t>
            </w:r>
          </w:p>
          <w:p w14:paraId="4FF0E807" w14:textId="77777777" w:rsidR="009A2C28" w:rsidRPr="002C2CC0" w:rsidRDefault="009A2C28" w:rsidP="00E13F82">
            <w:pPr>
              <w:pStyle w:val="NoSpacing"/>
              <w:snapToGrid w:val="0"/>
              <w:rPr>
                <w:rFonts w:ascii="Arial" w:hAnsi="Arial" w:cs="Arial"/>
              </w:rPr>
            </w:pPr>
          </w:p>
          <w:p w14:paraId="68023DBD" w14:textId="77777777" w:rsidR="009A2C28" w:rsidRPr="002C2CC0" w:rsidRDefault="009A2C28" w:rsidP="00E13F82">
            <w:pPr>
              <w:pStyle w:val="NoSpacing"/>
              <w:snapToGrid w:val="0"/>
              <w:rPr>
                <w:rFonts w:ascii="Arial" w:hAnsi="Arial" w:cs="Arial"/>
              </w:rPr>
            </w:pPr>
            <w:r w:rsidRPr="002C2CC0">
              <w:rPr>
                <w:rFonts w:ascii="Arial" w:hAnsi="Arial" w:cs="Arial"/>
              </w:rPr>
              <w:t>Where an audit is to be undertaken by the team that provided care, or those working to support them, such as clinical audit staff, this organisation may disclose identifiable information, provided they are satisfied that the patient:</w:t>
            </w:r>
          </w:p>
          <w:p w14:paraId="39077CC3" w14:textId="77777777" w:rsidR="009A2C28" w:rsidRPr="002C2CC0" w:rsidRDefault="009A2C28" w:rsidP="00E13F82">
            <w:pPr>
              <w:pStyle w:val="NoSpacing"/>
              <w:snapToGrid w:val="0"/>
              <w:rPr>
                <w:rFonts w:ascii="Arial" w:hAnsi="Arial" w:cs="Arial"/>
              </w:rPr>
            </w:pPr>
          </w:p>
          <w:p w14:paraId="0956ED16" w14:textId="755D9A56" w:rsidR="009A2C28" w:rsidRPr="007E3C3B" w:rsidRDefault="009A2C28" w:rsidP="0058781F">
            <w:pPr>
              <w:pStyle w:val="NoSpacing"/>
              <w:numPr>
                <w:ilvl w:val="0"/>
                <w:numId w:val="9"/>
              </w:numPr>
              <w:snapToGrid w:val="0"/>
              <w:rPr>
                <w:rFonts w:ascii="Arial" w:hAnsi="Arial" w:cs="Arial"/>
              </w:rPr>
            </w:pPr>
            <w:r w:rsidRPr="002C2CC0">
              <w:rPr>
                <w:rFonts w:ascii="Arial" w:hAnsi="Arial" w:cs="Arial"/>
              </w:rPr>
              <w:t>Has ready access to information that explains that their information may be disclosed for local clinical audit, and that they have the right to object; and</w:t>
            </w:r>
          </w:p>
          <w:p w14:paraId="66D2116C" w14:textId="77777777" w:rsidR="009A2C28" w:rsidRPr="002C2CC0" w:rsidRDefault="009A2C28" w:rsidP="0058781F">
            <w:pPr>
              <w:pStyle w:val="NoSpacing"/>
              <w:numPr>
                <w:ilvl w:val="0"/>
                <w:numId w:val="9"/>
              </w:numPr>
              <w:snapToGrid w:val="0"/>
              <w:rPr>
                <w:rFonts w:ascii="Arial" w:hAnsi="Arial" w:cs="Arial"/>
              </w:rPr>
            </w:pPr>
            <w:r w:rsidRPr="002C2CC0">
              <w:rPr>
                <w:rFonts w:ascii="Arial" w:hAnsi="Arial" w:cs="Arial"/>
              </w:rPr>
              <w:lastRenderedPageBreak/>
              <w:t>Has not objected</w:t>
            </w:r>
          </w:p>
          <w:p w14:paraId="23F3516D" w14:textId="77777777" w:rsidR="009A2C28" w:rsidRPr="002C2CC0" w:rsidRDefault="009A2C28" w:rsidP="00E13F82">
            <w:pPr>
              <w:pStyle w:val="NoSpacing"/>
              <w:snapToGrid w:val="0"/>
              <w:rPr>
                <w:rFonts w:ascii="Arial" w:hAnsi="Arial" w:cs="Arial"/>
              </w:rPr>
            </w:pPr>
          </w:p>
          <w:p w14:paraId="4887795F" w14:textId="77777777" w:rsidR="009A2C28" w:rsidRPr="002C2CC0" w:rsidRDefault="009A2C28" w:rsidP="00E13F82">
            <w:pPr>
              <w:pStyle w:val="NoSpacing"/>
              <w:snapToGrid w:val="0"/>
              <w:rPr>
                <w:rFonts w:ascii="Arial" w:hAnsi="Arial" w:cs="Arial"/>
              </w:rPr>
            </w:pPr>
            <w:r w:rsidRPr="002C2CC0">
              <w:rPr>
                <w:rFonts w:ascii="Arial" w:hAnsi="Arial" w:cs="Arial"/>
              </w:rPr>
              <w:t xml:space="preserve">If a patient does object, the CG should explain why the information is needed and how this may benefit their care. If it is not possible to provide safe care without disclosing information for audit, this and the options open to them should be explained to the patient. </w:t>
            </w:r>
          </w:p>
          <w:p w14:paraId="104802E3" w14:textId="77777777" w:rsidR="009A2C28" w:rsidRPr="002C2CC0" w:rsidRDefault="009A2C28" w:rsidP="00E13F82">
            <w:pPr>
              <w:pStyle w:val="NoSpacing"/>
              <w:snapToGrid w:val="0"/>
              <w:rPr>
                <w:rFonts w:ascii="Arial" w:hAnsi="Arial" w:cs="Arial"/>
              </w:rPr>
            </w:pPr>
          </w:p>
          <w:p w14:paraId="6B6E6B1A" w14:textId="77777777" w:rsidR="009A2C28" w:rsidRDefault="009A2C28" w:rsidP="00E13F82">
            <w:pPr>
              <w:pStyle w:val="NoSpacing"/>
              <w:snapToGrid w:val="0"/>
              <w:rPr>
                <w:rFonts w:ascii="Arial" w:hAnsi="Arial" w:cs="Arial"/>
              </w:rPr>
            </w:pPr>
            <w:r w:rsidRPr="002C2CC0">
              <w:rPr>
                <w:rFonts w:ascii="Arial" w:hAnsi="Arial" w:cs="Arial"/>
              </w:rPr>
              <w:t>Where clinical audit is to be undertaken by another organisation, patient information should be anonymised or coded wherever that is practicable. If this is not practicable, or anonymised data will not fulfil the requirements of the audit, identifiable data should be disclosed only if the patient’s express consent has been obtained.</w:t>
            </w:r>
          </w:p>
          <w:p w14:paraId="35A37BFB" w14:textId="77777777" w:rsidR="007E3C3B" w:rsidRPr="002C2CC0" w:rsidRDefault="007E3C3B" w:rsidP="00E13F82">
            <w:pPr>
              <w:pStyle w:val="NoSpacing"/>
              <w:snapToGrid w:val="0"/>
              <w:rPr>
                <w:rFonts w:ascii="Arial" w:hAnsi="Arial" w:cs="Arial"/>
              </w:rPr>
            </w:pPr>
          </w:p>
        </w:tc>
      </w:tr>
      <w:tr w:rsidR="009A2C28" w:rsidRPr="002C2CC0" w14:paraId="0366D4CE" w14:textId="77777777" w:rsidTr="00AB58D2">
        <w:tc>
          <w:tcPr>
            <w:tcW w:w="2830" w:type="dxa"/>
          </w:tcPr>
          <w:p w14:paraId="0EF25D73" w14:textId="77777777" w:rsidR="009A2C28" w:rsidRPr="00E13F82" w:rsidRDefault="009A2C28" w:rsidP="00E13F82">
            <w:pPr>
              <w:pStyle w:val="NoSpacing"/>
              <w:snapToGrid w:val="0"/>
              <w:rPr>
                <w:rFonts w:ascii="Arial" w:hAnsi="Arial" w:cs="Arial"/>
              </w:rPr>
            </w:pPr>
            <w:r w:rsidRPr="00E13F82">
              <w:rPr>
                <w:rFonts w:ascii="Arial" w:hAnsi="Arial" w:cs="Arial"/>
              </w:rPr>
              <w:lastRenderedPageBreak/>
              <w:t>Disclosures for which express consent should be sought</w:t>
            </w:r>
          </w:p>
          <w:p w14:paraId="02F7B87B" w14:textId="77777777" w:rsidR="009A2C28" w:rsidRPr="002C2CC0" w:rsidRDefault="009A2C28" w:rsidP="00E13F82">
            <w:pPr>
              <w:snapToGrid w:val="0"/>
              <w:rPr>
                <w:rFonts w:ascii="Arial" w:hAnsi="Arial" w:cs="Arial"/>
                <w:sz w:val="22"/>
                <w:szCs w:val="22"/>
              </w:rPr>
            </w:pPr>
          </w:p>
        </w:tc>
        <w:tc>
          <w:tcPr>
            <w:tcW w:w="11199" w:type="dxa"/>
          </w:tcPr>
          <w:p w14:paraId="606EA48E" w14:textId="4EE107EB" w:rsidR="009A2C28" w:rsidRPr="002C2CC0" w:rsidRDefault="009A2C28" w:rsidP="00E13F82">
            <w:pPr>
              <w:pStyle w:val="NoSpacing"/>
              <w:snapToGrid w:val="0"/>
              <w:rPr>
                <w:rFonts w:ascii="Arial" w:hAnsi="Arial" w:cs="Arial"/>
              </w:rPr>
            </w:pPr>
            <w:r w:rsidRPr="002C2CC0">
              <w:rPr>
                <w:rFonts w:ascii="Arial" w:hAnsi="Arial" w:cs="Arial"/>
              </w:rPr>
              <w:t>Express consent is generally needed before the disclosure of identifiable information for purposes such as financial audit and insurance or benefit claims.</w:t>
            </w:r>
            <w:r w:rsidR="007E3C3B">
              <w:rPr>
                <w:rFonts w:ascii="Arial" w:hAnsi="Arial" w:cs="Arial"/>
              </w:rPr>
              <w:t xml:space="preserve"> </w:t>
            </w:r>
            <w:r w:rsidRPr="002C2CC0">
              <w:rPr>
                <w:rFonts w:ascii="Arial" w:hAnsi="Arial" w:cs="Arial"/>
              </w:rPr>
              <w:t>Should this organisation be asked to provide information to third parties, (e.g., a patient’s insurer or employer, a government department or an agency assessing a claimant’s entitlement to benefits), either following an examination or from existing records, staff administering the request should:</w:t>
            </w:r>
          </w:p>
          <w:p w14:paraId="0FABC10B" w14:textId="77777777" w:rsidR="009A2C28" w:rsidRPr="002C2CC0" w:rsidRDefault="009A2C28" w:rsidP="00E13F82">
            <w:pPr>
              <w:pStyle w:val="NoSpacing"/>
              <w:snapToGrid w:val="0"/>
              <w:rPr>
                <w:rFonts w:ascii="Arial" w:hAnsi="Arial" w:cs="Arial"/>
              </w:rPr>
            </w:pPr>
          </w:p>
          <w:p w14:paraId="4B197439" w14:textId="77777777" w:rsidR="009A2C28" w:rsidRPr="002C2CC0" w:rsidRDefault="009A2C28" w:rsidP="0058781F">
            <w:pPr>
              <w:pStyle w:val="NoSpacing"/>
              <w:numPr>
                <w:ilvl w:val="0"/>
                <w:numId w:val="10"/>
              </w:numPr>
              <w:snapToGrid w:val="0"/>
              <w:rPr>
                <w:rFonts w:ascii="Arial" w:hAnsi="Arial" w:cs="Arial"/>
              </w:rPr>
            </w:pPr>
            <w:r w:rsidRPr="002C2CC0">
              <w:rPr>
                <w:rFonts w:ascii="Arial" w:hAnsi="Arial" w:cs="Arial"/>
              </w:rPr>
              <w:t>Be satisfied that the patient has sufficient information about the scope, purpose and likely consequences of the examination and disclosure, and the fact that relevant information cannot be concealed or withheld.</w:t>
            </w:r>
          </w:p>
          <w:p w14:paraId="2A8C9583" w14:textId="77777777" w:rsidR="009A2C28" w:rsidRPr="002C2CC0" w:rsidRDefault="009A2C28" w:rsidP="00E13F82">
            <w:pPr>
              <w:pStyle w:val="NoSpacing"/>
              <w:snapToGrid w:val="0"/>
              <w:ind w:left="720"/>
              <w:rPr>
                <w:rFonts w:ascii="Arial" w:hAnsi="Arial" w:cs="Arial"/>
              </w:rPr>
            </w:pPr>
          </w:p>
          <w:p w14:paraId="6E507E28" w14:textId="77777777" w:rsidR="009A2C28" w:rsidRPr="002C2CC0" w:rsidRDefault="009A2C28" w:rsidP="0058781F">
            <w:pPr>
              <w:pStyle w:val="NoSpacing"/>
              <w:numPr>
                <w:ilvl w:val="0"/>
                <w:numId w:val="10"/>
              </w:numPr>
              <w:snapToGrid w:val="0"/>
              <w:rPr>
                <w:rFonts w:ascii="Arial" w:hAnsi="Arial" w:cs="Arial"/>
              </w:rPr>
            </w:pPr>
            <w:r w:rsidRPr="002C2CC0">
              <w:rPr>
                <w:rFonts w:ascii="Arial" w:hAnsi="Arial" w:cs="Arial"/>
              </w:rPr>
              <w:t>Obtain or have seen written consent to the disclosure from the patient or a person properly authorised to act on the patient’s behalf. In this instance an assurance may be accepted from an officer of a government department or agency, or a registered health professional acting on their behalf, that the patient or a person properly authorised to act on their behalf has consented to.</w:t>
            </w:r>
          </w:p>
          <w:p w14:paraId="2104ADE2" w14:textId="77777777" w:rsidR="009A2C28" w:rsidRPr="002C2CC0" w:rsidRDefault="009A2C28" w:rsidP="00E13F82">
            <w:pPr>
              <w:pStyle w:val="ListParagraph"/>
              <w:snapToGrid w:val="0"/>
              <w:contextualSpacing w:val="0"/>
              <w:rPr>
                <w:rFonts w:ascii="Arial" w:hAnsi="Arial" w:cs="Arial"/>
              </w:rPr>
            </w:pPr>
          </w:p>
          <w:p w14:paraId="4B8F7990" w14:textId="77777777" w:rsidR="009A2C28" w:rsidRPr="002C2CC0" w:rsidRDefault="009A2C28" w:rsidP="0058781F">
            <w:pPr>
              <w:pStyle w:val="NoSpacing"/>
              <w:numPr>
                <w:ilvl w:val="0"/>
                <w:numId w:val="10"/>
              </w:numPr>
              <w:snapToGrid w:val="0"/>
              <w:rPr>
                <w:rFonts w:ascii="Arial" w:hAnsi="Arial" w:cs="Arial"/>
              </w:rPr>
            </w:pPr>
            <w:r w:rsidRPr="002C2CC0">
              <w:rPr>
                <w:rFonts w:ascii="Arial" w:hAnsi="Arial" w:cs="Arial"/>
              </w:rPr>
              <w:t>The patient should be shown, or given a copy of, any report that is written about them for employment or insurance purposes before it is sent, unless:</w:t>
            </w:r>
          </w:p>
          <w:p w14:paraId="5A376792" w14:textId="77777777" w:rsidR="009A2C28" w:rsidRPr="002C2CC0" w:rsidRDefault="009A2C28" w:rsidP="00E13F82">
            <w:pPr>
              <w:pStyle w:val="NoSpacing"/>
              <w:snapToGrid w:val="0"/>
              <w:rPr>
                <w:rFonts w:ascii="Arial" w:hAnsi="Arial" w:cs="Arial"/>
              </w:rPr>
            </w:pPr>
          </w:p>
          <w:p w14:paraId="36D8990C" w14:textId="593197D7" w:rsidR="009A2C28" w:rsidRPr="007E3C3B" w:rsidRDefault="009A2C28" w:rsidP="0058781F">
            <w:pPr>
              <w:pStyle w:val="NoSpacing"/>
              <w:numPr>
                <w:ilvl w:val="0"/>
                <w:numId w:val="11"/>
              </w:numPr>
              <w:snapToGrid w:val="0"/>
              <w:ind w:left="1305" w:hanging="426"/>
              <w:rPr>
                <w:rFonts w:ascii="Arial" w:hAnsi="Arial" w:cs="Arial"/>
              </w:rPr>
            </w:pPr>
            <w:r w:rsidRPr="002C2CC0">
              <w:rPr>
                <w:rFonts w:ascii="Arial" w:hAnsi="Arial" w:cs="Arial"/>
              </w:rPr>
              <w:t>They have already indicated they do not wish to see it</w:t>
            </w:r>
          </w:p>
          <w:p w14:paraId="37E2954F" w14:textId="36D9FC18" w:rsidR="009A2C28" w:rsidRPr="007E3C3B" w:rsidRDefault="009A2C28" w:rsidP="0058781F">
            <w:pPr>
              <w:pStyle w:val="NoSpacing"/>
              <w:numPr>
                <w:ilvl w:val="0"/>
                <w:numId w:val="11"/>
              </w:numPr>
              <w:snapToGrid w:val="0"/>
              <w:ind w:left="1305" w:hanging="426"/>
              <w:rPr>
                <w:rFonts w:ascii="Arial" w:hAnsi="Arial" w:cs="Arial"/>
              </w:rPr>
            </w:pPr>
            <w:r w:rsidRPr="002C2CC0">
              <w:rPr>
                <w:rFonts w:ascii="Arial" w:hAnsi="Arial" w:cs="Arial"/>
              </w:rPr>
              <w:t>Disclosure would be likely to cause serious harm to the patient or anyone else</w:t>
            </w:r>
          </w:p>
          <w:p w14:paraId="0A86CF98" w14:textId="77777777" w:rsidR="009A2C28" w:rsidRPr="002C2CC0" w:rsidRDefault="009A2C28" w:rsidP="0058781F">
            <w:pPr>
              <w:pStyle w:val="NoSpacing"/>
              <w:numPr>
                <w:ilvl w:val="0"/>
                <w:numId w:val="11"/>
              </w:numPr>
              <w:snapToGrid w:val="0"/>
              <w:ind w:left="1305" w:hanging="426"/>
              <w:rPr>
                <w:rFonts w:ascii="Arial" w:hAnsi="Arial" w:cs="Arial"/>
              </w:rPr>
            </w:pPr>
            <w:r w:rsidRPr="002C2CC0">
              <w:rPr>
                <w:rFonts w:ascii="Arial" w:hAnsi="Arial" w:cs="Arial"/>
              </w:rPr>
              <w:t>Disclosure would be likely to reveal information about another person who does not consent</w:t>
            </w:r>
          </w:p>
          <w:p w14:paraId="70D6B02A" w14:textId="77777777" w:rsidR="009A2C28" w:rsidRPr="002C2CC0" w:rsidRDefault="009A2C28" w:rsidP="00E13F82">
            <w:pPr>
              <w:pStyle w:val="NoSpacing"/>
              <w:snapToGrid w:val="0"/>
              <w:rPr>
                <w:rFonts w:ascii="Arial" w:hAnsi="Arial" w:cs="Arial"/>
              </w:rPr>
            </w:pPr>
          </w:p>
          <w:p w14:paraId="77313311" w14:textId="77777777" w:rsidR="009A2C28" w:rsidRPr="002C2CC0" w:rsidRDefault="009A2C28" w:rsidP="00E13F82">
            <w:pPr>
              <w:pStyle w:val="NoSpacing"/>
              <w:snapToGrid w:val="0"/>
              <w:rPr>
                <w:rFonts w:ascii="Arial" w:hAnsi="Arial" w:cs="Arial"/>
              </w:rPr>
            </w:pPr>
            <w:r w:rsidRPr="002C2CC0">
              <w:rPr>
                <w:rFonts w:ascii="Arial" w:hAnsi="Arial" w:cs="Arial"/>
              </w:rPr>
              <w:t xml:space="preserve">If a patient refuses consent, or if it is not practicable to get their consent, disclosure may still be made provided it is required by law or can be justified as in the public interest. </w:t>
            </w:r>
          </w:p>
          <w:p w14:paraId="3580FE19" w14:textId="77777777" w:rsidR="009A2C28" w:rsidRPr="002C2CC0" w:rsidRDefault="009A2C28" w:rsidP="00E13F82">
            <w:pPr>
              <w:pStyle w:val="NoSpacing"/>
              <w:snapToGrid w:val="0"/>
              <w:rPr>
                <w:rFonts w:ascii="Arial" w:hAnsi="Arial" w:cs="Arial"/>
              </w:rPr>
            </w:pPr>
          </w:p>
          <w:p w14:paraId="30A0E6B7" w14:textId="77777777" w:rsidR="009A2C28" w:rsidRPr="002C2CC0" w:rsidRDefault="009A2C28" w:rsidP="00E13F82">
            <w:pPr>
              <w:pStyle w:val="NoSpacing"/>
              <w:snapToGrid w:val="0"/>
              <w:rPr>
                <w:rFonts w:ascii="Arial" w:hAnsi="Arial" w:cs="Arial"/>
              </w:rPr>
            </w:pPr>
            <w:r w:rsidRPr="002C2CC0">
              <w:rPr>
                <w:rFonts w:ascii="Arial" w:hAnsi="Arial" w:cs="Arial"/>
              </w:rPr>
              <w:lastRenderedPageBreak/>
              <w:t xml:space="preserve">Where the purpose is covered by a regulation made under section 251 of the </w:t>
            </w:r>
            <w:hyperlink r:id="rId18" w:history="1">
              <w:r w:rsidRPr="002C2CC0">
                <w:rPr>
                  <w:rStyle w:val="Hyperlink"/>
                  <w:rFonts w:ascii="Arial" w:hAnsi="Arial" w:cs="Arial"/>
                </w:rPr>
                <w:t>NHS Act 2006</w:t>
              </w:r>
            </w:hyperlink>
            <w:r w:rsidRPr="002C2CC0">
              <w:rPr>
                <w:rFonts w:ascii="Arial" w:hAnsi="Arial" w:cs="Arial"/>
              </w:rPr>
              <w:t>, disclosures can also be made without a patient’s consent, but not if the patient has objected.</w:t>
            </w:r>
          </w:p>
          <w:p w14:paraId="27BFC7F5" w14:textId="77777777" w:rsidR="009A2C28" w:rsidRPr="002C2CC0" w:rsidRDefault="009A2C28" w:rsidP="00E13F82">
            <w:pPr>
              <w:snapToGrid w:val="0"/>
              <w:rPr>
                <w:rFonts w:ascii="Arial" w:hAnsi="Arial" w:cs="Arial"/>
                <w:sz w:val="22"/>
                <w:szCs w:val="22"/>
              </w:rPr>
            </w:pPr>
          </w:p>
        </w:tc>
      </w:tr>
      <w:tr w:rsidR="009A2C28" w:rsidRPr="007E3C3B" w14:paraId="3232BFBF" w14:textId="77777777" w:rsidTr="009A2C28">
        <w:tc>
          <w:tcPr>
            <w:tcW w:w="14029" w:type="dxa"/>
            <w:gridSpan w:val="2"/>
          </w:tcPr>
          <w:p w14:paraId="1AFE8B4D" w14:textId="77777777" w:rsidR="009A2C28" w:rsidRPr="00AB58D2" w:rsidRDefault="009A2C28" w:rsidP="00AB58D2">
            <w:pPr>
              <w:pStyle w:val="NoSpacing"/>
              <w:snapToGrid w:val="0"/>
              <w:spacing w:before="120" w:after="120"/>
              <w:ind w:left="28"/>
              <w:rPr>
                <w:rFonts w:ascii="Arial" w:hAnsi="Arial" w:cs="Arial"/>
                <w:b/>
                <w:bCs/>
                <w:sz w:val="24"/>
                <w:szCs w:val="24"/>
              </w:rPr>
            </w:pPr>
            <w:r w:rsidRPr="00AB58D2">
              <w:rPr>
                <w:rFonts w:ascii="Arial" w:hAnsi="Arial" w:cs="Arial"/>
                <w:b/>
                <w:bCs/>
                <w:sz w:val="24"/>
                <w:szCs w:val="24"/>
              </w:rPr>
              <w:lastRenderedPageBreak/>
              <w:t>The public interest</w:t>
            </w:r>
          </w:p>
        </w:tc>
      </w:tr>
      <w:tr w:rsidR="009A2C28" w:rsidRPr="002C2CC0" w14:paraId="1EFAAA7E" w14:textId="77777777" w:rsidTr="009A2C28">
        <w:tc>
          <w:tcPr>
            <w:tcW w:w="2830" w:type="dxa"/>
          </w:tcPr>
          <w:p w14:paraId="5FF2D3C2" w14:textId="77777777" w:rsidR="009A2C28" w:rsidRPr="002C2CC0" w:rsidRDefault="009A2C28" w:rsidP="00E13F82">
            <w:pPr>
              <w:snapToGrid w:val="0"/>
              <w:rPr>
                <w:rFonts w:ascii="Arial" w:hAnsi="Arial" w:cs="Arial"/>
                <w:sz w:val="22"/>
                <w:szCs w:val="22"/>
              </w:rPr>
            </w:pPr>
            <w:r w:rsidRPr="002C2CC0">
              <w:rPr>
                <w:rFonts w:ascii="Arial" w:hAnsi="Arial" w:cs="Arial"/>
                <w:sz w:val="22"/>
                <w:szCs w:val="22"/>
              </w:rPr>
              <w:t>Disclosures in the public interest</w:t>
            </w:r>
          </w:p>
        </w:tc>
        <w:tc>
          <w:tcPr>
            <w:tcW w:w="11199" w:type="dxa"/>
          </w:tcPr>
          <w:p w14:paraId="01B29D5C" w14:textId="77777777" w:rsidR="009A2C28" w:rsidRPr="002C2CC0" w:rsidRDefault="009A2C28" w:rsidP="00E13F82">
            <w:pPr>
              <w:pStyle w:val="NoSpacing"/>
              <w:snapToGrid w:val="0"/>
              <w:rPr>
                <w:rFonts w:ascii="Arial" w:hAnsi="Arial" w:cs="Arial"/>
              </w:rPr>
            </w:pPr>
            <w:r w:rsidRPr="002C2CC0">
              <w:rPr>
                <w:rFonts w:ascii="Arial" w:hAnsi="Arial" w:cs="Arial"/>
              </w:rPr>
              <w:t>Confidential medical care is recognised in law as being in the public interest. However, there can also be a public interest in disclosing information:</w:t>
            </w:r>
          </w:p>
          <w:p w14:paraId="3C4B8AC5" w14:textId="77777777" w:rsidR="009A2C28" w:rsidRPr="002C2CC0" w:rsidRDefault="009A2C28" w:rsidP="00E13F82">
            <w:pPr>
              <w:pStyle w:val="NoSpacing"/>
              <w:snapToGrid w:val="0"/>
              <w:ind w:left="360"/>
              <w:rPr>
                <w:rFonts w:ascii="Arial" w:hAnsi="Arial" w:cs="Arial"/>
              </w:rPr>
            </w:pPr>
          </w:p>
          <w:p w14:paraId="391771D3" w14:textId="77777777" w:rsidR="009A2C28" w:rsidRPr="002C2CC0" w:rsidRDefault="009A2C28" w:rsidP="0058781F">
            <w:pPr>
              <w:pStyle w:val="NoSpacing"/>
              <w:numPr>
                <w:ilvl w:val="0"/>
                <w:numId w:val="12"/>
              </w:numPr>
              <w:snapToGrid w:val="0"/>
              <w:ind w:left="852" w:hanging="426"/>
              <w:rPr>
                <w:rFonts w:ascii="Arial" w:hAnsi="Arial" w:cs="Arial"/>
              </w:rPr>
            </w:pPr>
            <w:r w:rsidRPr="002C2CC0">
              <w:rPr>
                <w:rFonts w:ascii="Arial" w:hAnsi="Arial" w:cs="Arial"/>
              </w:rPr>
              <w:t>To protect individuals or society from risks of serious harm, such as serious communicable diseases or serious crime; or</w:t>
            </w:r>
          </w:p>
          <w:p w14:paraId="5376765B" w14:textId="77777777" w:rsidR="009A2C28" w:rsidRPr="002C2CC0" w:rsidRDefault="009A2C28" w:rsidP="00E13F82">
            <w:pPr>
              <w:pStyle w:val="NoSpacing"/>
              <w:snapToGrid w:val="0"/>
              <w:ind w:left="852" w:hanging="426"/>
              <w:rPr>
                <w:rFonts w:ascii="Arial" w:hAnsi="Arial" w:cs="Arial"/>
              </w:rPr>
            </w:pPr>
          </w:p>
          <w:p w14:paraId="02A75E93" w14:textId="77777777" w:rsidR="009A2C28" w:rsidRPr="002C2CC0" w:rsidRDefault="009A2C28" w:rsidP="0058781F">
            <w:pPr>
              <w:pStyle w:val="NoSpacing"/>
              <w:numPr>
                <w:ilvl w:val="0"/>
                <w:numId w:val="12"/>
              </w:numPr>
              <w:snapToGrid w:val="0"/>
              <w:ind w:left="852" w:hanging="426"/>
              <w:rPr>
                <w:rFonts w:ascii="Arial" w:hAnsi="Arial" w:cs="Arial"/>
              </w:rPr>
            </w:pPr>
            <w:r w:rsidRPr="002C2CC0">
              <w:rPr>
                <w:rFonts w:ascii="Arial" w:hAnsi="Arial" w:cs="Arial"/>
              </w:rPr>
              <w:t>To enable medical research, education or other secondary uses of information that will benefit society over time.</w:t>
            </w:r>
          </w:p>
          <w:p w14:paraId="69E3D4E3" w14:textId="77777777" w:rsidR="009A2C28" w:rsidRPr="002C2CC0" w:rsidRDefault="009A2C28" w:rsidP="00E13F82">
            <w:pPr>
              <w:pStyle w:val="NoSpacing"/>
              <w:snapToGrid w:val="0"/>
              <w:ind w:left="360"/>
              <w:rPr>
                <w:rFonts w:ascii="Arial" w:hAnsi="Arial" w:cs="Arial"/>
              </w:rPr>
            </w:pPr>
          </w:p>
          <w:p w14:paraId="646AFE1A" w14:textId="77777777" w:rsidR="009A2C28" w:rsidRPr="002C2CC0" w:rsidRDefault="009A2C28" w:rsidP="00E13F82">
            <w:pPr>
              <w:pStyle w:val="NoSpacing"/>
              <w:snapToGrid w:val="0"/>
              <w:rPr>
                <w:rFonts w:ascii="Arial" w:hAnsi="Arial" w:cs="Arial"/>
              </w:rPr>
            </w:pPr>
            <w:r w:rsidRPr="002C2CC0">
              <w:rPr>
                <w:rFonts w:ascii="Arial" w:hAnsi="Arial" w:cs="Arial"/>
              </w:rPr>
              <w:t xml:space="preserve">Personal information may be disclosed in the public interest, without the patient’s consent, and in exceptional cases where patients have withheld consent, where the benefits to an individual or to society of the disclosure outweigh the public and the patient’s interest in keeping the information confidential. </w:t>
            </w:r>
          </w:p>
          <w:p w14:paraId="77A32307" w14:textId="77777777" w:rsidR="009A2C28" w:rsidRPr="002C2CC0" w:rsidRDefault="009A2C28" w:rsidP="00E13F82">
            <w:pPr>
              <w:pStyle w:val="NoSpacing"/>
              <w:snapToGrid w:val="0"/>
              <w:ind w:left="720"/>
              <w:rPr>
                <w:rFonts w:ascii="Arial" w:hAnsi="Arial" w:cs="Arial"/>
              </w:rPr>
            </w:pPr>
          </w:p>
          <w:p w14:paraId="4883BFD9" w14:textId="3B725660" w:rsidR="009A2C28" w:rsidRPr="002C2CC0" w:rsidRDefault="009A2C28" w:rsidP="00E13F82">
            <w:pPr>
              <w:pStyle w:val="NoSpacing"/>
              <w:snapToGrid w:val="0"/>
              <w:rPr>
                <w:rFonts w:ascii="Arial" w:hAnsi="Arial" w:cs="Arial"/>
              </w:rPr>
            </w:pPr>
            <w:r w:rsidRPr="002C2CC0">
              <w:rPr>
                <w:rFonts w:ascii="Arial" w:hAnsi="Arial" w:cs="Arial"/>
              </w:rPr>
              <w:t xml:space="preserve">In all cases where disclosure is being considered without the consent of the patient, this organisation must weigh the possible harm (both to the patient and the overall trust between </w:t>
            </w:r>
            <w:r w:rsidR="007E3C3B">
              <w:rPr>
                <w:rFonts w:ascii="Arial" w:hAnsi="Arial" w:cs="Arial"/>
              </w:rPr>
              <w:t>clinicians</w:t>
            </w:r>
            <w:r w:rsidRPr="002C2CC0">
              <w:rPr>
                <w:rFonts w:ascii="Arial" w:hAnsi="Arial" w:cs="Arial"/>
              </w:rPr>
              <w:t xml:space="preserve"> and patients) against the benefits that are likely to arise from the release of information.</w:t>
            </w:r>
          </w:p>
          <w:p w14:paraId="0163CEDD" w14:textId="77777777" w:rsidR="009A2C28" w:rsidRPr="002C2CC0" w:rsidRDefault="009A2C28" w:rsidP="00E13F82">
            <w:pPr>
              <w:pStyle w:val="NoSpacing"/>
              <w:snapToGrid w:val="0"/>
              <w:rPr>
                <w:rFonts w:ascii="Arial" w:hAnsi="Arial" w:cs="Arial"/>
              </w:rPr>
            </w:pPr>
          </w:p>
          <w:p w14:paraId="6D039E64" w14:textId="77777777" w:rsidR="009A2C28" w:rsidRPr="002C2CC0" w:rsidRDefault="009A2C28" w:rsidP="00E13F82">
            <w:pPr>
              <w:pStyle w:val="NoSpacing"/>
              <w:snapToGrid w:val="0"/>
              <w:rPr>
                <w:rFonts w:ascii="Arial" w:hAnsi="Arial" w:cs="Arial"/>
              </w:rPr>
            </w:pPr>
            <w:r w:rsidRPr="002C2CC0">
              <w:rPr>
                <w:rFonts w:ascii="Arial" w:hAnsi="Arial" w:cs="Arial"/>
              </w:rPr>
              <w:t>Before considering whether a disclosure of personal information ‘in the public interest’ would be justified, this organisation must be satisfied that identifiable information is necessary for the purpose or that it is not practicable to anonymise or code it. In such cases, the patient’s consent should be sought, unless it is not practicable to do so, for example because:</w:t>
            </w:r>
          </w:p>
          <w:p w14:paraId="3EE065AE" w14:textId="77777777" w:rsidR="009A2C28" w:rsidRPr="002C2CC0" w:rsidRDefault="009A2C28" w:rsidP="00E13F82">
            <w:pPr>
              <w:pStyle w:val="NoSpacing"/>
              <w:snapToGrid w:val="0"/>
              <w:ind w:left="360"/>
              <w:jc w:val="both"/>
              <w:rPr>
                <w:rFonts w:ascii="Arial" w:hAnsi="Arial" w:cs="Arial"/>
              </w:rPr>
            </w:pPr>
          </w:p>
          <w:p w14:paraId="41A99343" w14:textId="77777777" w:rsidR="009A2C28" w:rsidRPr="002C2CC0" w:rsidRDefault="009A2C28" w:rsidP="0058781F">
            <w:pPr>
              <w:pStyle w:val="NoSpacing"/>
              <w:numPr>
                <w:ilvl w:val="0"/>
                <w:numId w:val="13"/>
              </w:numPr>
              <w:snapToGrid w:val="0"/>
              <w:rPr>
                <w:rFonts w:ascii="Arial" w:hAnsi="Arial" w:cs="Arial"/>
              </w:rPr>
            </w:pPr>
            <w:r w:rsidRPr="002C2CC0">
              <w:rPr>
                <w:rFonts w:ascii="Arial" w:hAnsi="Arial" w:cs="Arial"/>
              </w:rPr>
              <w:t>The patient is not competent to give consent (in which case the patient’s welfare attorney, court-appointed deputy, guardian or the patient’s relatives, friends or carers should be consulted); or</w:t>
            </w:r>
          </w:p>
          <w:p w14:paraId="21833D05" w14:textId="77777777" w:rsidR="009A2C28" w:rsidRPr="002C2CC0" w:rsidRDefault="009A2C28" w:rsidP="00E13F82">
            <w:pPr>
              <w:pStyle w:val="NoSpacing"/>
              <w:snapToGrid w:val="0"/>
              <w:rPr>
                <w:rFonts w:ascii="Arial" w:hAnsi="Arial" w:cs="Arial"/>
              </w:rPr>
            </w:pPr>
          </w:p>
          <w:p w14:paraId="42C8ADD3" w14:textId="77777777" w:rsidR="009A2C28" w:rsidRPr="002C2CC0" w:rsidRDefault="009A2C28" w:rsidP="0058781F">
            <w:pPr>
              <w:pStyle w:val="NoSpacing"/>
              <w:numPr>
                <w:ilvl w:val="0"/>
                <w:numId w:val="13"/>
              </w:numPr>
              <w:snapToGrid w:val="0"/>
              <w:rPr>
                <w:rFonts w:ascii="Arial" w:hAnsi="Arial" w:cs="Arial"/>
              </w:rPr>
            </w:pPr>
            <w:r w:rsidRPr="002C2CC0">
              <w:rPr>
                <w:rFonts w:ascii="Arial" w:hAnsi="Arial" w:cs="Arial"/>
              </w:rPr>
              <w:t>Staff have reason to believe that seeking consent would put them or others at risk of serious harm, or</w:t>
            </w:r>
          </w:p>
          <w:p w14:paraId="27C15CA8" w14:textId="77777777" w:rsidR="009A2C28" w:rsidRPr="002C2CC0" w:rsidRDefault="009A2C28" w:rsidP="00E13F82">
            <w:pPr>
              <w:pStyle w:val="ListParagraph"/>
              <w:snapToGrid w:val="0"/>
              <w:contextualSpacing w:val="0"/>
              <w:rPr>
                <w:rFonts w:ascii="Arial" w:hAnsi="Arial" w:cs="Arial"/>
              </w:rPr>
            </w:pPr>
          </w:p>
          <w:p w14:paraId="37C53083" w14:textId="438CAC05" w:rsidR="009A2C28" w:rsidRPr="00AB58D2" w:rsidRDefault="009A2C28" w:rsidP="0058781F">
            <w:pPr>
              <w:pStyle w:val="NoSpacing"/>
              <w:numPr>
                <w:ilvl w:val="0"/>
                <w:numId w:val="13"/>
              </w:numPr>
              <w:snapToGrid w:val="0"/>
              <w:rPr>
                <w:rFonts w:ascii="Arial" w:hAnsi="Arial" w:cs="Arial"/>
              </w:rPr>
            </w:pPr>
            <w:r w:rsidRPr="002C2CC0">
              <w:rPr>
                <w:rFonts w:ascii="Arial" w:hAnsi="Arial" w:cs="Arial"/>
              </w:rPr>
              <w:t>Seeking consent would be likely to undermine the purpose of the disclosure, (e.g., by prejudicing the prevention or detection of serious crime, or</w:t>
            </w:r>
          </w:p>
          <w:p w14:paraId="22E2F146" w14:textId="77777777" w:rsidR="009A2C28" w:rsidRPr="002C2CC0" w:rsidRDefault="009A2C28" w:rsidP="0058781F">
            <w:pPr>
              <w:pStyle w:val="NoSpacing"/>
              <w:numPr>
                <w:ilvl w:val="0"/>
                <w:numId w:val="13"/>
              </w:numPr>
              <w:snapToGrid w:val="0"/>
              <w:rPr>
                <w:rFonts w:ascii="Arial" w:hAnsi="Arial" w:cs="Arial"/>
              </w:rPr>
            </w:pPr>
            <w:r w:rsidRPr="002C2CC0">
              <w:rPr>
                <w:rFonts w:ascii="Arial" w:hAnsi="Arial" w:cs="Arial"/>
              </w:rPr>
              <w:lastRenderedPageBreak/>
              <w:t>Action must be taken quickly (for example in the detection or control of outbreaks of some communicable diseases) and there is insufficient time to contact patients.</w:t>
            </w:r>
          </w:p>
          <w:p w14:paraId="774EE28B" w14:textId="77777777" w:rsidR="009A2C28" w:rsidRPr="002C2CC0" w:rsidRDefault="009A2C28" w:rsidP="00E13F82">
            <w:pPr>
              <w:pStyle w:val="NoSpacing"/>
              <w:snapToGrid w:val="0"/>
              <w:ind w:left="360"/>
              <w:rPr>
                <w:rFonts w:ascii="Arial" w:hAnsi="Arial" w:cs="Arial"/>
              </w:rPr>
            </w:pPr>
          </w:p>
          <w:p w14:paraId="2855DFB7" w14:textId="77777777" w:rsidR="009A2C28" w:rsidRPr="002C2CC0" w:rsidRDefault="009A2C28" w:rsidP="00E13F82">
            <w:pPr>
              <w:pStyle w:val="NoSpacing"/>
              <w:snapToGrid w:val="0"/>
              <w:jc w:val="both"/>
              <w:rPr>
                <w:rFonts w:ascii="Arial" w:hAnsi="Arial" w:cs="Arial"/>
              </w:rPr>
            </w:pPr>
            <w:r w:rsidRPr="002C2CC0">
              <w:rPr>
                <w:rFonts w:ascii="Arial" w:hAnsi="Arial" w:cs="Arial"/>
              </w:rPr>
              <w:t>This organisation should inform patients that a disclosure will be made in the public interest, even if consent has not been sought, unless to do so:</w:t>
            </w:r>
          </w:p>
          <w:p w14:paraId="017434A5" w14:textId="77777777" w:rsidR="009A2C28" w:rsidRPr="002C2CC0" w:rsidRDefault="009A2C28" w:rsidP="00E13F82">
            <w:pPr>
              <w:pStyle w:val="NoSpacing"/>
              <w:snapToGrid w:val="0"/>
              <w:rPr>
                <w:rFonts w:ascii="Arial" w:hAnsi="Arial" w:cs="Arial"/>
              </w:rPr>
            </w:pPr>
          </w:p>
          <w:p w14:paraId="62144427" w14:textId="77777777" w:rsidR="009A2C28" w:rsidRPr="002C2CC0" w:rsidRDefault="009A2C28" w:rsidP="0058781F">
            <w:pPr>
              <w:pStyle w:val="NoSpacing"/>
              <w:numPr>
                <w:ilvl w:val="0"/>
                <w:numId w:val="14"/>
              </w:numPr>
              <w:snapToGrid w:val="0"/>
              <w:rPr>
                <w:rFonts w:ascii="Arial" w:hAnsi="Arial" w:cs="Arial"/>
              </w:rPr>
            </w:pPr>
            <w:r w:rsidRPr="002C2CC0">
              <w:rPr>
                <w:rFonts w:ascii="Arial" w:hAnsi="Arial" w:cs="Arial"/>
              </w:rPr>
              <w:t>Is impracticable; or</w:t>
            </w:r>
          </w:p>
          <w:p w14:paraId="3E877E6F" w14:textId="77777777" w:rsidR="009A2C28" w:rsidRPr="002C2CC0" w:rsidRDefault="009A2C28" w:rsidP="0058781F">
            <w:pPr>
              <w:pStyle w:val="NoSpacing"/>
              <w:numPr>
                <w:ilvl w:val="0"/>
                <w:numId w:val="14"/>
              </w:numPr>
              <w:snapToGrid w:val="0"/>
              <w:rPr>
                <w:rFonts w:ascii="Arial" w:hAnsi="Arial" w:cs="Arial"/>
              </w:rPr>
            </w:pPr>
            <w:r w:rsidRPr="002C2CC0">
              <w:rPr>
                <w:rFonts w:ascii="Arial" w:hAnsi="Arial" w:cs="Arial"/>
              </w:rPr>
              <w:t>Would put employees or others at risk of serious harm; or</w:t>
            </w:r>
          </w:p>
          <w:p w14:paraId="6F0A4DB3" w14:textId="77777777" w:rsidR="009A2C28" w:rsidRPr="002C2CC0" w:rsidRDefault="009A2C28" w:rsidP="0058781F">
            <w:pPr>
              <w:pStyle w:val="NoSpacing"/>
              <w:numPr>
                <w:ilvl w:val="0"/>
                <w:numId w:val="14"/>
              </w:numPr>
              <w:snapToGrid w:val="0"/>
              <w:rPr>
                <w:rFonts w:ascii="Arial" w:hAnsi="Arial" w:cs="Arial"/>
              </w:rPr>
            </w:pPr>
            <w:r w:rsidRPr="002C2CC0">
              <w:rPr>
                <w:rFonts w:ascii="Arial" w:hAnsi="Arial" w:cs="Arial"/>
              </w:rPr>
              <w:t>Would prejudice the purpose of the disclosure</w:t>
            </w:r>
          </w:p>
          <w:p w14:paraId="7953C303" w14:textId="77777777" w:rsidR="009A2C28" w:rsidRPr="002C2CC0" w:rsidRDefault="009A2C28" w:rsidP="00E13F82">
            <w:pPr>
              <w:pStyle w:val="NoSpacing"/>
              <w:snapToGrid w:val="0"/>
              <w:ind w:left="360"/>
              <w:rPr>
                <w:rFonts w:ascii="Arial" w:hAnsi="Arial" w:cs="Arial"/>
              </w:rPr>
            </w:pPr>
          </w:p>
          <w:p w14:paraId="1D6D3504" w14:textId="77777777" w:rsidR="009A2C28" w:rsidRPr="002C2CC0" w:rsidRDefault="009A2C28" w:rsidP="00E13F82">
            <w:pPr>
              <w:pStyle w:val="NoSpacing"/>
              <w:snapToGrid w:val="0"/>
              <w:rPr>
                <w:rFonts w:ascii="Arial" w:hAnsi="Arial" w:cs="Arial"/>
              </w:rPr>
            </w:pPr>
            <w:r w:rsidRPr="002C2CC0">
              <w:rPr>
                <w:rFonts w:ascii="Arial" w:hAnsi="Arial" w:cs="Arial"/>
              </w:rPr>
              <w:t>This organisation must append the following within the patient’s record:</w:t>
            </w:r>
          </w:p>
          <w:p w14:paraId="019795BA" w14:textId="77777777" w:rsidR="009A2C28" w:rsidRPr="002C2CC0" w:rsidRDefault="009A2C28" w:rsidP="0058781F">
            <w:pPr>
              <w:pStyle w:val="NoSpacing"/>
              <w:numPr>
                <w:ilvl w:val="0"/>
                <w:numId w:val="15"/>
              </w:numPr>
              <w:snapToGrid w:val="0"/>
              <w:rPr>
                <w:rFonts w:ascii="Arial" w:hAnsi="Arial" w:cs="Arial"/>
              </w:rPr>
            </w:pPr>
            <w:r w:rsidRPr="002C2CC0">
              <w:rPr>
                <w:rFonts w:ascii="Arial" w:hAnsi="Arial" w:cs="Arial"/>
              </w:rPr>
              <w:t>The reasons for disclosing information without consent; and</w:t>
            </w:r>
          </w:p>
          <w:p w14:paraId="2F57A7AF" w14:textId="77777777" w:rsidR="009A2C28" w:rsidRPr="002C2CC0" w:rsidRDefault="009A2C28" w:rsidP="0058781F">
            <w:pPr>
              <w:pStyle w:val="NoSpacing"/>
              <w:numPr>
                <w:ilvl w:val="0"/>
                <w:numId w:val="15"/>
              </w:numPr>
              <w:snapToGrid w:val="0"/>
              <w:rPr>
                <w:rFonts w:ascii="Arial" w:hAnsi="Arial" w:cs="Arial"/>
              </w:rPr>
            </w:pPr>
            <w:r w:rsidRPr="002C2CC0">
              <w:rPr>
                <w:rFonts w:ascii="Arial" w:hAnsi="Arial" w:cs="Arial"/>
              </w:rPr>
              <w:t>Any steps taken to seek the patient’s consent to inform them about the disclosure: or</w:t>
            </w:r>
          </w:p>
          <w:p w14:paraId="50C8B75F" w14:textId="77777777" w:rsidR="009A2C28" w:rsidRPr="002C2CC0" w:rsidRDefault="009A2C28" w:rsidP="0058781F">
            <w:pPr>
              <w:pStyle w:val="NoSpacing"/>
              <w:numPr>
                <w:ilvl w:val="0"/>
                <w:numId w:val="15"/>
              </w:numPr>
              <w:snapToGrid w:val="0"/>
              <w:rPr>
                <w:rFonts w:ascii="Arial" w:hAnsi="Arial" w:cs="Arial"/>
              </w:rPr>
            </w:pPr>
            <w:r w:rsidRPr="002C2CC0">
              <w:rPr>
                <w:rFonts w:ascii="Arial" w:hAnsi="Arial" w:cs="Arial"/>
              </w:rPr>
              <w:t>The reasons for not doing so</w:t>
            </w:r>
          </w:p>
          <w:p w14:paraId="3F2F91D7" w14:textId="77777777" w:rsidR="009A2C28" w:rsidRPr="002C2CC0" w:rsidRDefault="009A2C28" w:rsidP="00E13F82">
            <w:pPr>
              <w:snapToGrid w:val="0"/>
              <w:rPr>
                <w:rFonts w:ascii="Arial" w:hAnsi="Arial" w:cs="Arial"/>
                <w:sz w:val="22"/>
                <w:szCs w:val="22"/>
              </w:rPr>
            </w:pPr>
          </w:p>
        </w:tc>
      </w:tr>
      <w:tr w:rsidR="009A2C28" w:rsidRPr="002C2CC0" w14:paraId="27F9638F" w14:textId="77777777" w:rsidTr="00AB58D2">
        <w:tc>
          <w:tcPr>
            <w:tcW w:w="2830" w:type="dxa"/>
          </w:tcPr>
          <w:p w14:paraId="116B5EE5" w14:textId="77777777" w:rsidR="009A2C28" w:rsidRPr="002C2CC0" w:rsidRDefault="009A2C28" w:rsidP="00E13F82">
            <w:pPr>
              <w:snapToGrid w:val="0"/>
              <w:rPr>
                <w:rFonts w:ascii="Arial" w:hAnsi="Arial" w:cs="Arial"/>
                <w:sz w:val="22"/>
                <w:szCs w:val="22"/>
              </w:rPr>
            </w:pPr>
            <w:r w:rsidRPr="002C2CC0">
              <w:rPr>
                <w:rFonts w:ascii="Arial" w:hAnsi="Arial" w:cs="Arial"/>
                <w:sz w:val="22"/>
                <w:szCs w:val="22"/>
              </w:rPr>
              <w:lastRenderedPageBreak/>
              <w:t>Research and other secondary uses</w:t>
            </w:r>
          </w:p>
        </w:tc>
        <w:tc>
          <w:tcPr>
            <w:tcW w:w="11199" w:type="dxa"/>
          </w:tcPr>
          <w:p w14:paraId="5F2436BB" w14:textId="77777777" w:rsidR="009A2C28" w:rsidRPr="002C2CC0" w:rsidRDefault="009A2C28" w:rsidP="00E13F82">
            <w:pPr>
              <w:pStyle w:val="NoSpacing"/>
              <w:snapToGrid w:val="0"/>
              <w:rPr>
                <w:rFonts w:ascii="Arial" w:hAnsi="Arial" w:cs="Arial"/>
              </w:rPr>
            </w:pPr>
            <w:r w:rsidRPr="002C2CC0">
              <w:rPr>
                <w:rFonts w:ascii="Arial" w:hAnsi="Arial" w:cs="Arial"/>
              </w:rPr>
              <w:t xml:space="preserve">Research, epidemiology, public health surveillance, health service planning and education and training are among the important secondary uses made of patient information, each serving important public interests. For many secondary uses, it will be sufficient and practicable to disclose only anonymised or coded information. </w:t>
            </w:r>
          </w:p>
          <w:p w14:paraId="0B547EFA" w14:textId="77777777" w:rsidR="009A2C28" w:rsidRPr="002C2CC0" w:rsidRDefault="009A2C28" w:rsidP="00E13F82">
            <w:pPr>
              <w:pStyle w:val="NoSpacing"/>
              <w:snapToGrid w:val="0"/>
              <w:ind w:left="360"/>
              <w:rPr>
                <w:rFonts w:ascii="Arial" w:hAnsi="Arial" w:cs="Arial"/>
              </w:rPr>
            </w:pPr>
          </w:p>
          <w:p w14:paraId="4397E488" w14:textId="77777777" w:rsidR="009A2C28" w:rsidRPr="002C2CC0" w:rsidRDefault="009A2C28" w:rsidP="00E13F82">
            <w:pPr>
              <w:pStyle w:val="NoSpacing"/>
              <w:snapToGrid w:val="0"/>
              <w:rPr>
                <w:rFonts w:ascii="Arial" w:hAnsi="Arial" w:cs="Arial"/>
              </w:rPr>
            </w:pPr>
            <w:r w:rsidRPr="002C2CC0">
              <w:rPr>
                <w:rFonts w:ascii="Arial" w:hAnsi="Arial" w:cs="Arial"/>
              </w:rPr>
              <w:t>When identifiable information is needed, or it is not practicable to remove identifiable information, it will often be possible to obtain patients’ express consent.</w:t>
            </w:r>
          </w:p>
          <w:p w14:paraId="35271996" w14:textId="77777777" w:rsidR="009A2C28" w:rsidRPr="002C2CC0" w:rsidRDefault="009A2C28" w:rsidP="00E13F82">
            <w:pPr>
              <w:pStyle w:val="NoSpacing"/>
              <w:snapToGrid w:val="0"/>
              <w:ind w:left="360"/>
              <w:rPr>
                <w:rFonts w:ascii="Arial" w:hAnsi="Arial" w:cs="Arial"/>
              </w:rPr>
            </w:pPr>
          </w:p>
          <w:p w14:paraId="380D63B6" w14:textId="77777777" w:rsidR="009A2C28" w:rsidRPr="002C2CC0" w:rsidRDefault="009A2C28" w:rsidP="00E13F82">
            <w:pPr>
              <w:pStyle w:val="NoSpacing"/>
              <w:snapToGrid w:val="0"/>
              <w:rPr>
                <w:rFonts w:ascii="Arial" w:hAnsi="Arial" w:cs="Arial"/>
              </w:rPr>
            </w:pPr>
            <w:r w:rsidRPr="002C2CC0">
              <w:rPr>
                <w:rFonts w:ascii="Arial" w:hAnsi="Arial" w:cs="Arial"/>
              </w:rPr>
              <w:t xml:space="preserve">This organisation may disclose identifiable information without consent if it is required by law, if it is approved under Section 251 of the </w:t>
            </w:r>
            <w:hyperlink r:id="rId19" w:history="1">
              <w:r w:rsidRPr="002C2CC0">
                <w:rPr>
                  <w:rStyle w:val="Hyperlink"/>
                  <w:rFonts w:ascii="Arial" w:hAnsi="Arial" w:cs="Arial"/>
                </w:rPr>
                <w:t>NHS Act 2006</w:t>
              </w:r>
            </w:hyperlink>
            <w:r w:rsidRPr="002C2CC0">
              <w:rPr>
                <w:rFonts w:ascii="Arial" w:hAnsi="Arial" w:cs="Arial"/>
              </w:rPr>
              <w:t xml:space="preserve"> or if it can be justified as in the public interest and it is either:</w:t>
            </w:r>
          </w:p>
          <w:p w14:paraId="74B71D3F" w14:textId="77777777" w:rsidR="009A2C28" w:rsidRPr="002C2CC0" w:rsidRDefault="009A2C28" w:rsidP="00E13F82">
            <w:pPr>
              <w:pStyle w:val="NoSpacing"/>
              <w:snapToGrid w:val="0"/>
              <w:ind w:left="360"/>
              <w:rPr>
                <w:rFonts w:ascii="Arial" w:hAnsi="Arial" w:cs="Arial"/>
              </w:rPr>
            </w:pPr>
          </w:p>
          <w:p w14:paraId="2FE9FBD0" w14:textId="77777777" w:rsidR="009A2C28" w:rsidRPr="002C2CC0" w:rsidRDefault="009A2C28" w:rsidP="0058781F">
            <w:pPr>
              <w:pStyle w:val="NoSpacing"/>
              <w:numPr>
                <w:ilvl w:val="0"/>
                <w:numId w:val="17"/>
              </w:numPr>
              <w:snapToGrid w:val="0"/>
              <w:rPr>
                <w:rFonts w:ascii="Arial" w:hAnsi="Arial" w:cs="Arial"/>
              </w:rPr>
            </w:pPr>
            <w:r w:rsidRPr="002C2CC0">
              <w:rPr>
                <w:rFonts w:ascii="Arial" w:hAnsi="Arial" w:cs="Arial"/>
              </w:rPr>
              <w:t>Necessary to use identifiable information, or</w:t>
            </w:r>
          </w:p>
          <w:p w14:paraId="3E6E3334" w14:textId="77777777" w:rsidR="009A2C28" w:rsidRPr="002C2CC0" w:rsidRDefault="009A2C28" w:rsidP="00E13F82">
            <w:pPr>
              <w:pStyle w:val="NoSpacing"/>
              <w:snapToGrid w:val="0"/>
              <w:ind w:left="1080"/>
              <w:rPr>
                <w:rFonts w:ascii="Arial" w:hAnsi="Arial" w:cs="Arial"/>
              </w:rPr>
            </w:pPr>
          </w:p>
          <w:p w14:paraId="24AF2729" w14:textId="77777777" w:rsidR="009A2C28" w:rsidRPr="002C2CC0" w:rsidRDefault="009A2C28" w:rsidP="0058781F">
            <w:pPr>
              <w:pStyle w:val="NoSpacing"/>
              <w:numPr>
                <w:ilvl w:val="0"/>
                <w:numId w:val="17"/>
              </w:numPr>
              <w:snapToGrid w:val="0"/>
              <w:rPr>
                <w:rFonts w:ascii="Arial" w:hAnsi="Arial" w:cs="Arial"/>
              </w:rPr>
            </w:pPr>
            <w:r w:rsidRPr="002C2CC0">
              <w:rPr>
                <w:rFonts w:ascii="Arial" w:hAnsi="Arial" w:cs="Arial"/>
              </w:rPr>
              <w:t>Not practicable to anonymise or code the information and, in either case, not practicable to seek consent (or efforts to seek consent have been unsuccessful)</w:t>
            </w:r>
          </w:p>
          <w:p w14:paraId="6E7E1E7E" w14:textId="77777777" w:rsidR="009A2C28" w:rsidRPr="00E13F82" w:rsidRDefault="009A2C28" w:rsidP="00E13F82">
            <w:pPr>
              <w:pStyle w:val="ListParagraph"/>
              <w:snapToGrid w:val="0"/>
              <w:contextualSpacing w:val="0"/>
              <w:rPr>
                <w:rFonts w:ascii="Arial" w:hAnsi="Arial" w:cs="Arial"/>
                <w:sz w:val="22"/>
                <w:szCs w:val="22"/>
              </w:rPr>
            </w:pPr>
          </w:p>
          <w:p w14:paraId="7764B65D" w14:textId="77777777" w:rsidR="009A2C28" w:rsidRPr="002C2CC0" w:rsidRDefault="009A2C28" w:rsidP="00E13F82">
            <w:pPr>
              <w:pStyle w:val="NoSpacing"/>
              <w:snapToGrid w:val="0"/>
              <w:rPr>
                <w:rFonts w:ascii="Arial" w:hAnsi="Arial" w:cs="Arial"/>
              </w:rPr>
            </w:pPr>
            <w:r w:rsidRPr="002C2CC0">
              <w:rPr>
                <w:rFonts w:ascii="Arial" w:hAnsi="Arial" w:cs="Arial"/>
              </w:rPr>
              <w:t>In considering whether it is practicable to seek consent, this organisation must take account of:</w:t>
            </w:r>
          </w:p>
          <w:p w14:paraId="6DB511E2" w14:textId="77777777" w:rsidR="009A2C28" w:rsidRPr="002C2CC0" w:rsidRDefault="009A2C28" w:rsidP="00E13F82">
            <w:pPr>
              <w:pStyle w:val="NoSpacing"/>
              <w:snapToGrid w:val="0"/>
              <w:ind w:left="360"/>
              <w:rPr>
                <w:rFonts w:ascii="Arial" w:hAnsi="Arial" w:cs="Arial"/>
              </w:rPr>
            </w:pPr>
          </w:p>
          <w:p w14:paraId="567BEDEE" w14:textId="77777777" w:rsidR="009A2C28" w:rsidRPr="002C2CC0" w:rsidRDefault="009A2C28" w:rsidP="0058781F">
            <w:pPr>
              <w:pStyle w:val="NoSpacing"/>
              <w:numPr>
                <w:ilvl w:val="0"/>
                <w:numId w:val="18"/>
              </w:numPr>
              <w:snapToGrid w:val="0"/>
              <w:rPr>
                <w:rFonts w:ascii="Arial" w:hAnsi="Arial" w:cs="Arial"/>
              </w:rPr>
            </w:pPr>
            <w:r w:rsidRPr="002C2CC0">
              <w:rPr>
                <w:rFonts w:ascii="Arial" w:hAnsi="Arial" w:cs="Arial"/>
              </w:rPr>
              <w:t>The age of records and the likely traceability of patients</w:t>
            </w:r>
          </w:p>
          <w:p w14:paraId="6B63B3C7" w14:textId="77777777" w:rsidR="009A2C28" w:rsidRPr="002C2CC0" w:rsidRDefault="009A2C28" w:rsidP="00E13F82">
            <w:pPr>
              <w:pStyle w:val="NoSpacing"/>
              <w:snapToGrid w:val="0"/>
              <w:rPr>
                <w:rFonts w:ascii="Arial" w:hAnsi="Arial" w:cs="Arial"/>
              </w:rPr>
            </w:pPr>
          </w:p>
          <w:p w14:paraId="6AF4BDD8" w14:textId="77777777" w:rsidR="009A2C28" w:rsidRPr="002C2CC0" w:rsidRDefault="009A2C28" w:rsidP="0058781F">
            <w:pPr>
              <w:pStyle w:val="NoSpacing"/>
              <w:numPr>
                <w:ilvl w:val="0"/>
                <w:numId w:val="18"/>
              </w:numPr>
              <w:snapToGrid w:val="0"/>
              <w:rPr>
                <w:rFonts w:ascii="Arial" w:hAnsi="Arial" w:cs="Arial"/>
              </w:rPr>
            </w:pPr>
            <w:r w:rsidRPr="002C2CC0">
              <w:rPr>
                <w:rFonts w:ascii="Arial" w:hAnsi="Arial" w:cs="Arial"/>
              </w:rPr>
              <w:lastRenderedPageBreak/>
              <w:t>The number of records; and</w:t>
            </w:r>
          </w:p>
          <w:p w14:paraId="4A23FEAE" w14:textId="77777777" w:rsidR="009A2C28" w:rsidRPr="002C2CC0" w:rsidRDefault="009A2C28" w:rsidP="00E13F82">
            <w:pPr>
              <w:pStyle w:val="NoSpacing"/>
              <w:snapToGrid w:val="0"/>
              <w:rPr>
                <w:rFonts w:ascii="Arial" w:hAnsi="Arial" w:cs="Arial"/>
              </w:rPr>
            </w:pPr>
          </w:p>
          <w:p w14:paraId="61EE32C0" w14:textId="77777777" w:rsidR="009A2C28" w:rsidRPr="002C2CC0" w:rsidRDefault="009A2C28" w:rsidP="0058781F">
            <w:pPr>
              <w:pStyle w:val="NoSpacing"/>
              <w:numPr>
                <w:ilvl w:val="0"/>
                <w:numId w:val="18"/>
              </w:numPr>
              <w:snapToGrid w:val="0"/>
              <w:rPr>
                <w:rFonts w:ascii="Arial" w:hAnsi="Arial" w:cs="Arial"/>
              </w:rPr>
            </w:pPr>
            <w:r w:rsidRPr="002C2CC0">
              <w:rPr>
                <w:rFonts w:ascii="Arial" w:hAnsi="Arial" w:cs="Arial"/>
              </w:rPr>
              <w:t>The possibility of introducing bias because of a low response rate or because particular groups of patients refuse or do not respond to requests to use their information</w:t>
            </w:r>
          </w:p>
          <w:p w14:paraId="0A1DCBEA" w14:textId="77777777" w:rsidR="009A2C28" w:rsidRPr="002C2CC0" w:rsidRDefault="009A2C28" w:rsidP="00E13F82">
            <w:pPr>
              <w:pStyle w:val="NoSpacing"/>
              <w:snapToGrid w:val="0"/>
              <w:rPr>
                <w:rFonts w:ascii="Arial" w:hAnsi="Arial" w:cs="Arial"/>
              </w:rPr>
            </w:pPr>
          </w:p>
          <w:p w14:paraId="34249385" w14:textId="77777777" w:rsidR="009A2C28" w:rsidRPr="002C2CC0" w:rsidRDefault="009A2C28" w:rsidP="00E13F82">
            <w:pPr>
              <w:pStyle w:val="NoSpacing"/>
              <w:snapToGrid w:val="0"/>
              <w:rPr>
                <w:rFonts w:ascii="Arial" w:hAnsi="Arial" w:cs="Arial"/>
              </w:rPr>
            </w:pPr>
            <w:r w:rsidRPr="002C2CC0">
              <w:rPr>
                <w:rFonts w:ascii="Arial" w:hAnsi="Arial" w:cs="Arial"/>
              </w:rPr>
              <w:t>When considering whether the public interest in disclosures for secondary uses outweighs patients’ and the public interest in keeping the information confidential, the organisation must consider:</w:t>
            </w:r>
          </w:p>
          <w:p w14:paraId="7A3C220A" w14:textId="77777777" w:rsidR="009A2C28" w:rsidRPr="002C2CC0" w:rsidRDefault="009A2C28" w:rsidP="00E13F82">
            <w:pPr>
              <w:pStyle w:val="NoSpacing"/>
              <w:snapToGrid w:val="0"/>
              <w:ind w:left="360"/>
              <w:rPr>
                <w:rFonts w:ascii="Arial" w:hAnsi="Arial" w:cs="Arial"/>
              </w:rPr>
            </w:pPr>
          </w:p>
          <w:p w14:paraId="6FF2D9D5" w14:textId="77777777" w:rsidR="009A2C28" w:rsidRPr="002C2CC0" w:rsidRDefault="009A2C28" w:rsidP="0058781F">
            <w:pPr>
              <w:pStyle w:val="NoSpacing"/>
              <w:numPr>
                <w:ilvl w:val="0"/>
                <w:numId w:val="19"/>
              </w:numPr>
              <w:snapToGrid w:val="0"/>
              <w:rPr>
                <w:rFonts w:ascii="Arial" w:hAnsi="Arial" w:cs="Arial"/>
              </w:rPr>
            </w:pPr>
            <w:r w:rsidRPr="002C2CC0">
              <w:rPr>
                <w:rFonts w:ascii="Arial" w:hAnsi="Arial" w:cs="Arial"/>
              </w:rPr>
              <w:t>The nature of the information to be disclosed</w:t>
            </w:r>
          </w:p>
          <w:p w14:paraId="529BB87D" w14:textId="77777777" w:rsidR="009A2C28" w:rsidRPr="002C2CC0" w:rsidRDefault="009A2C28" w:rsidP="00AB58D2">
            <w:pPr>
              <w:pStyle w:val="NoSpacing"/>
              <w:snapToGrid w:val="0"/>
              <w:rPr>
                <w:rFonts w:ascii="Arial" w:hAnsi="Arial" w:cs="Arial"/>
              </w:rPr>
            </w:pPr>
          </w:p>
          <w:p w14:paraId="3B0173D8" w14:textId="77777777" w:rsidR="009A2C28" w:rsidRPr="002C2CC0" w:rsidRDefault="009A2C28" w:rsidP="0058781F">
            <w:pPr>
              <w:pStyle w:val="NoSpacing"/>
              <w:numPr>
                <w:ilvl w:val="0"/>
                <w:numId w:val="19"/>
              </w:numPr>
              <w:snapToGrid w:val="0"/>
              <w:rPr>
                <w:rFonts w:ascii="Arial" w:hAnsi="Arial" w:cs="Arial"/>
              </w:rPr>
            </w:pPr>
            <w:r w:rsidRPr="002C2CC0">
              <w:rPr>
                <w:rFonts w:ascii="Arial" w:hAnsi="Arial" w:cs="Arial"/>
              </w:rPr>
              <w:t>What use will be made of the information</w:t>
            </w:r>
          </w:p>
          <w:p w14:paraId="41C5F68B" w14:textId="77777777" w:rsidR="009A2C28" w:rsidRPr="002C2CC0" w:rsidRDefault="009A2C28" w:rsidP="00E13F82">
            <w:pPr>
              <w:pStyle w:val="NoSpacing"/>
              <w:snapToGrid w:val="0"/>
              <w:rPr>
                <w:rFonts w:ascii="Arial" w:hAnsi="Arial" w:cs="Arial"/>
              </w:rPr>
            </w:pPr>
          </w:p>
          <w:p w14:paraId="628FFA80" w14:textId="77777777" w:rsidR="009A2C28" w:rsidRPr="002C2CC0" w:rsidRDefault="009A2C28" w:rsidP="0058781F">
            <w:pPr>
              <w:pStyle w:val="NoSpacing"/>
              <w:numPr>
                <w:ilvl w:val="0"/>
                <w:numId w:val="19"/>
              </w:numPr>
              <w:snapToGrid w:val="0"/>
              <w:rPr>
                <w:rFonts w:ascii="Arial" w:hAnsi="Arial" w:cs="Arial"/>
              </w:rPr>
            </w:pPr>
            <w:r w:rsidRPr="002C2CC0">
              <w:rPr>
                <w:rFonts w:ascii="Arial" w:hAnsi="Arial" w:cs="Arial"/>
              </w:rPr>
              <w:t>How many people will have access to the information</w:t>
            </w:r>
          </w:p>
          <w:p w14:paraId="4889EFB2" w14:textId="77777777" w:rsidR="009A2C28" w:rsidRPr="002C2CC0" w:rsidRDefault="009A2C28" w:rsidP="00E13F82">
            <w:pPr>
              <w:pStyle w:val="NoSpacing"/>
              <w:snapToGrid w:val="0"/>
              <w:rPr>
                <w:rFonts w:ascii="Arial" w:hAnsi="Arial" w:cs="Arial"/>
              </w:rPr>
            </w:pPr>
          </w:p>
          <w:p w14:paraId="6EBD486B" w14:textId="77777777" w:rsidR="009A2C28" w:rsidRDefault="009A2C28" w:rsidP="0058781F">
            <w:pPr>
              <w:pStyle w:val="NoSpacing"/>
              <w:numPr>
                <w:ilvl w:val="0"/>
                <w:numId w:val="19"/>
              </w:numPr>
              <w:snapToGrid w:val="0"/>
              <w:rPr>
                <w:rFonts w:ascii="Arial" w:hAnsi="Arial" w:cs="Arial"/>
              </w:rPr>
            </w:pPr>
            <w:r w:rsidRPr="002C2CC0">
              <w:rPr>
                <w:rFonts w:ascii="Arial" w:hAnsi="Arial" w:cs="Arial"/>
              </w:rPr>
              <w:t>The confidentiality and security arrangements in place to protect the information from further disclosure</w:t>
            </w:r>
          </w:p>
          <w:p w14:paraId="52E69CC8" w14:textId="77777777" w:rsidR="007E3C3B" w:rsidRPr="002C2CC0" w:rsidRDefault="007E3C3B" w:rsidP="00AB58D2">
            <w:pPr>
              <w:pStyle w:val="NoSpacing"/>
              <w:snapToGrid w:val="0"/>
              <w:rPr>
                <w:rFonts w:ascii="Arial" w:hAnsi="Arial" w:cs="Arial"/>
              </w:rPr>
            </w:pPr>
          </w:p>
          <w:p w14:paraId="6E901905" w14:textId="77777777" w:rsidR="009A2C28" w:rsidRPr="002C2CC0" w:rsidRDefault="009A2C28" w:rsidP="0058781F">
            <w:pPr>
              <w:pStyle w:val="NoSpacing"/>
              <w:numPr>
                <w:ilvl w:val="0"/>
                <w:numId w:val="19"/>
              </w:numPr>
              <w:snapToGrid w:val="0"/>
              <w:rPr>
                <w:rFonts w:ascii="Arial" w:hAnsi="Arial" w:cs="Arial"/>
              </w:rPr>
            </w:pPr>
            <w:r w:rsidRPr="002C2CC0">
              <w:rPr>
                <w:rFonts w:ascii="Arial" w:hAnsi="Arial" w:cs="Arial"/>
              </w:rPr>
              <w:t>The advice of the Caldicott Guardian or similar expert adviser who is not directly connected with the use for which disclosure is being considered</w:t>
            </w:r>
          </w:p>
          <w:p w14:paraId="291CC13D" w14:textId="77777777" w:rsidR="009A2C28" w:rsidRPr="002C2CC0" w:rsidRDefault="009A2C28" w:rsidP="00E13F82">
            <w:pPr>
              <w:pStyle w:val="NoSpacing"/>
              <w:snapToGrid w:val="0"/>
              <w:rPr>
                <w:rFonts w:ascii="Arial" w:hAnsi="Arial" w:cs="Arial"/>
              </w:rPr>
            </w:pPr>
          </w:p>
          <w:p w14:paraId="4F2E14B4" w14:textId="77777777" w:rsidR="009A2C28" w:rsidRPr="002C2CC0" w:rsidRDefault="009A2C28" w:rsidP="0058781F">
            <w:pPr>
              <w:pStyle w:val="NoSpacing"/>
              <w:numPr>
                <w:ilvl w:val="0"/>
                <w:numId w:val="19"/>
              </w:numPr>
              <w:snapToGrid w:val="0"/>
              <w:rPr>
                <w:rFonts w:ascii="Arial" w:hAnsi="Arial" w:cs="Arial"/>
              </w:rPr>
            </w:pPr>
            <w:r w:rsidRPr="002C2CC0">
              <w:rPr>
                <w:rFonts w:ascii="Arial" w:hAnsi="Arial" w:cs="Arial"/>
              </w:rPr>
              <w:t>The potential for distress or harm to patients</w:t>
            </w:r>
          </w:p>
          <w:p w14:paraId="35DD2B89" w14:textId="77777777" w:rsidR="009A2C28" w:rsidRPr="002C2CC0" w:rsidRDefault="009A2C28" w:rsidP="00E13F82">
            <w:pPr>
              <w:pStyle w:val="NoSpacing"/>
              <w:snapToGrid w:val="0"/>
              <w:ind w:left="360"/>
              <w:rPr>
                <w:rFonts w:ascii="Arial" w:hAnsi="Arial" w:cs="Arial"/>
              </w:rPr>
            </w:pPr>
          </w:p>
          <w:p w14:paraId="00DC0110" w14:textId="77777777" w:rsidR="009A2C28" w:rsidRPr="002C2CC0" w:rsidRDefault="009A2C28" w:rsidP="00E13F82">
            <w:pPr>
              <w:pStyle w:val="NoSpacing"/>
              <w:snapToGrid w:val="0"/>
              <w:rPr>
                <w:rFonts w:ascii="Arial" w:hAnsi="Arial" w:cs="Arial"/>
              </w:rPr>
            </w:pPr>
            <w:r w:rsidRPr="002C2CC0">
              <w:rPr>
                <w:rFonts w:ascii="Arial" w:hAnsi="Arial" w:cs="Arial"/>
              </w:rPr>
              <w:t>When considering applications for support under section 251 of the NHS Act 2006 in England and Wales, the National Information Governance Board considers:</w:t>
            </w:r>
          </w:p>
          <w:p w14:paraId="13217192" w14:textId="77777777" w:rsidR="009A2C28" w:rsidRPr="00E13F82" w:rsidRDefault="009A2C28" w:rsidP="00E13F82">
            <w:pPr>
              <w:pStyle w:val="ListParagraph"/>
              <w:snapToGrid w:val="0"/>
              <w:contextualSpacing w:val="0"/>
              <w:rPr>
                <w:rFonts w:ascii="Arial" w:hAnsi="Arial" w:cs="Arial"/>
                <w:sz w:val="22"/>
                <w:szCs w:val="22"/>
              </w:rPr>
            </w:pPr>
          </w:p>
          <w:p w14:paraId="050EAEB5" w14:textId="77777777" w:rsidR="009A2C28" w:rsidRPr="002C2CC0" w:rsidRDefault="009A2C28" w:rsidP="0058781F">
            <w:pPr>
              <w:pStyle w:val="NoSpacing"/>
              <w:numPr>
                <w:ilvl w:val="0"/>
                <w:numId w:val="19"/>
              </w:numPr>
              <w:snapToGrid w:val="0"/>
              <w:rPr>
                <w:rFonts w:ascii="Arial" w:hAnsi="Arial" w:cs="Arial"/>
              </w:rPr>
            </w:pPr>
            <w:r w:rsidRPr="002C2CC0">
              <w:rPr>
                <w:rFonts w:ascii="Arial" w:hAnsi="Arial" w:cs="Arial"/>
              </w:rPr>
              <w:t>The feasibility of doing the research or other activity with patients’ consent or by using anonymised or coded information, and</w:t>
            </w:r>
          </w:p>
          <w:p w14:paraId="1F510B5E" w14:textId="77777777" w:rsidR="009A2C28" w:rsidRPr="002C2CC0" w:rsidRDefault="009A2C28" w:rsidP="00E13F82">
            <w:pPr>
              <w:pStyle w:val="NoSpacing"/>
              <w:snapToGrid w:val="0"/>
              <w:ind w:left="1080"/>
              <w:rPr>
                <w:rFonts w:ascii="Arial" w:hAnsi="Arial" w:cs="Arial"/>
              </w:rPr>
            </w:pPr>
          </w:p>
          <w:p w14:paraId="032DDA6C" w14:textId="77777777" w:rsidR="009A2C28" w:rsidRPr="002C2CC0" w:rsidRDefault="009A2C28" w:rsidP="0058781F">
            <w:pPr>
              <w:pStyle w:val="NoSpacing"/>
              <w:numPr>
                <w:ilvl w:val="0"/>
                <w:numId w:val="19"/>
              </w:numPr>
              <w:snapToGrid w:val="0"/>
              <w:rPr>
                <w:rFonts w:ascii="Arial" w:hAnsi="Arial" w:cs="Arial"/>
              </w:rPr>
            </w:pPr>
            <w:r w:rsidRPr="002C2CC0">
              <w:rPr>
                <w:rFonts w:ascii="Arial" w:hAnsi="Arial" w:cs="Arial"/>
              </w:rPr>
              <w:t>Whether the use of identifiable information would benefit patients or the public sufficiently to outweigh patients’ right to privacy. It might not be practicable for this organisation to anonymise or code information or to seek patients’ express consent:</w:t>
            </w:r>
          </w:p>
          <w:p w14:paraId="11212516" w14:textId="77777777" w:rsidR="009A2C28" w:rsidRPr="002C2CC0" w:rsidRDefault="009A2C28" w:rsidP="00E13F82">
            <w:pPr>
              <w:pStyle w:val="NoSpacing"/>
              <w:snapToGrid w:val="0"/>
              <w:ind w:left="360"/>
              <w:rPr>
                <w:rFonts w:ascii="Arial" w:hAnsi="Arial" w:cs="Arial"/>
              </w:rPr>
            </w:pPr>
          </w:p>
          <w:p w14:paraId="55FBA5E2" w14:textId="4DCF1F96" w:rsidR="009A2C28" w:rsidRPr="007E3C3B" w:rsidRDefault="009A2C28" w:rsidP="0058781F">
            <w:pPr>
              <w:pStyle w:val="NoSpacing"/>
              <w:numPr>
                <w:ilvl w:val="0"/>
                <w:numId w:val="20"/>
              </w:numPr>
              <w:snapToGrid w:val="0"/>
              <w:ind w:left="1440"/>
              <w:rPr>
                <w:rFonts w:ascii="Arial" w:hAnsi="Arial" w:cs="Arial"/>
              </w:rPr>
            </w:pPr>
            <w:r w:rsidRPr="002C2CC0">
              <w:rPr>
                <w:rFonts w:ascii="Arial" w:hAnsi="Arial" w:cs="Arial"/>
              </w:rPr>
              <w:t>For the disclosure of identifiable information for important secondary uses, or</w:t>
            </w:r>
          </w:p>
          <w:p w14:paraId="3217BFCB" w14:textId="77777777" w:rsidR="009A2C28" w:rsidRPr="002C2CC0" w:rsidRDefault="009A2C28" w:rsidP="0058781F">
            <w:pPr>
              <w:pStyle w:val="NoSpacing"/>
              <w:numPr>
                <w:ilvl w:val="0"/>
                <w:numId w:val="20"/>
              </w:numPr>
              <w:snapToGrid w:val="0"/>
              <w:ind w:left="1440"/>
              <w:rPr>
                <w:rFonts w:ascii="Arial" w:hAnsi="Arial" w:cs="Arial"/>
              </w:rPr>
            </w:pPr>
            <w:r w:rsidRPr="002C2CC0">
              <w:rPr>
                <w:rFonts w:ascii="Arial" w:hAnsi="Arial" w:cs="Arial"/>
              </w:rPr>
              <w:t>So that suitable patients can be recruited to clinical trials or other approved research projects</w:t>
            </w:r>
          </w:p>
          <w:p w14:paraId="5425AFC7" w14:textId="77777777" w:rsidR="009A2C28" w:rsidRPr="002C2CC0" w:rsidRDefault="009A2C28" w:rsidP="00E13F82">
            <w:pPr>
              <w:pStyle w:val="NoSpacing"/>
              <w:snapToGrid w:val="0"/>
              <w:rPr>
                <w:rFonts w:ascii="Arial" w:hAnsi="Arial" w:cs="Arial"/>
              </w:rPr>
            </w:pPr>
          </w:p>
          <w:p w14:paraId="44D547C0" w14:textId="77777777" w:rsidR="009A2C28" w:rsidRPr="002C2CC0" w:rsidRDefault="009A2C28" w:rsidP="00E13F82">
            <w:pPr>
              <w:pStyle w:val="NoSpacing"/>
              <w:snapToGrid w:val="0"/>
              <w:ind w:firstLine="720"/>
              <w:rPr>
                <w:rFonts w:ascii="Arial" w:hAnsi="Arial" w:cs="Arial"/>
              </w:rPr>
            </w:pPr>
            <w:r w:rsidRPr="002C2CC0">
              <w:rPr>
                <w:rFonts w:ascii="Arial" w:hAnsi="Arial" w:cs="Arial"/>
              </w:rPr>
              <w:lastRenderedPageBreak/>
              <w:t>If that is the case:</w:t>
            </w:r>
          </w:p>
          <w:p w14:paraId="452E5E27" w14:textId="77777777" w:rsidR="009A2C28" w:rsidRPr="002C2CC0" w:rsidRDefault="009A2C28" w:rsidP="00E13F82">
            <w:pPr>
              <w:pStyle w:val="NoSpacing"/>
              <w:snapToGrid w:val="0"/>
              <w:ind w:firstLine="720"/>
              <w:rPr>
                <w:rFonts w:ascii="Arial" w:hAnsi="Arial" w:cs="Arial"/>
              </w:rPr>
            </w:pPr>
          </w:p>
          <w:p w14:paraId="1EDEC9FF" w14:textId="77777777" w:rsidR="009A2C28" w:rsidRPr="002C2CC0" w:rsidRDefault="009A2C28" w:rsidP="0058781F">
            <w:pPr>
              <w:pStyle w:val="NoSpacing"/>
              <w:numPr>
                <w:ilvl w:val="0"/>
                <w:numId w:val="16"/>
              </w:numPr>
              <w:snapToGrid w:val="0"/>
              <w:rPr>
                <w:rFonts w:ascii="Arial" w:hAnsi="Arial" w:cs="Arial"/>
              </w:rPr>
            </w:pPr>
            <w:r w:rsidRPr="002C2CC0">
              <w:rPr>
                <w:rFonts w:ascii="Arial" w:hAnsi="Arial" w:cs="Arial"/>
              </w:rPr>
              <w:t>Identifiable information may be sent to a ‘safe haven’ where they exist and have the capabilities and are otherwise suitable to process the information (including anonymising or coding it) and to manage the disclosure of information for secondary uses; or, if that is not practicable</w:t>
            </w:r>
          </w:p>
          <w:p w14:paraId="63F80E95" w14:textId="77777777" w:rsidR="009A2C28" w:rsidRPr="002C2CC0" w:rsidRDefault="009A2C28" w:rsidP="00E13F82">
            <w:pPr>
              <w:pStyle w:val="NoSpacing"/>
              <w:snapToGrid w:val="0"/>
              <w:ind w:left="1080"/>
              <w:rPr>
                <w:rFonts w:ascii="Arial" w:hAnsi="Arial" w:cs="Arial"/>
              </w:rPr>
            </w:pPr>
          </w:p>
          <w:p w14:paraId="3E5446E4" w14:textId="77777777" w:rsidR="009A2C28" w:rsidRPr="002C2CC0" w:rsidRDefault="009A2C28" w:rsidP="0058781F">
            <w:pPr>
              <w:pStyle w:val="NoSpacing"/>
              <w:numPr>
                <w:ilvl w:val="0"/>
                <w:numId w:val="16"/>
              </w:numPr>
              <w:snapToGrid w:val="0"/>
              <w:rPr>
                <w:rFonts w:ascii="Arial" w:hAnsi="Arial" w:cs="Arial"/>
              </w:rPr>
            </w:pPr>
            <w:r w:rsidRPr="002C2CC0">
              <w:rPr>
                <w:rFonts w:ascii="Arial" w:hAnsi="Arial" w:cs="Arial"/>
              </w:rPr>
              <w:t>The task of anonymising or coding the information or seeking patients’ consent to disclosure can be delegated to someone incorporated into this organisation on a temporary basis and bound by legal and contractual obligations of confidentiality.</w:t>
            </w:r>
          </w:p>
          <w:p w14:paraId="42306DB9" w14:textId="77777777" w:rsidR="009A2C28" w:rsidRPr="002C2CC0" w:rsidRDefault="009A2C28" w:rsidP="00E13F82">
            <w:pPr>
              <w:pStyle w:val="NoSpacing"/>
              <w:snapToGrid w:val="0"/>
              <w:ind w:firstLine="576"/>
              <w:rPr>
                <w:rFonts w:ascii="Arial" w:hAnsi="Arial" w:cs="Arial"/>
              </w:rPr>
            </w:pPr>
          </w:p>
          <w:p w14:paraId="56EE2454" w14:textId="77777777" w:rsidR="009A2C28" w:rsidRPr="002C2CC0" w:rsidRDefault="009A2C28" w:rsidP="00E13F82">
            <w:pPr>
              <w:pStyle w:val="NoSpacing"/>
              <w:snapToGrid w:val="0"/>
              <w:rPr>
                <w:rFonts w:ascii="Arial" w:hAnsi="Arial" w:cs="Arial"/>
              </w:rPr>
            </w:pPr>
            <w:r w:rsidRPr="002C2CC0">
              <w:rPr>
                <w:rFonts w:ascii="Arial" w:hAnsi="Arial" w:cs="Arial"/>
              </w:rPr>
              <w:t>This organisation should only disclose identifiable information for research if that research is approved by a Research Ethics Committee. This organisation should alert the Research Ethics Committees to disclosures of identifiable information without consent when applying for approval for research projects.</w:t>
            </w:r>
          </w:p>
          <w:p w14:paraId="08F4875B" w14:textId="77777777" w:rsidR="009A2C28" w:rsidRPr="002C2CC0" w:rsidRDefault="009A2C28" w:rsidP="00E13F82">
            <w:pPr>
              <w:pStyle w:val="NoSpacing"/>
              <w:snapToGrid w:val="0"/>
              <w:rPr>
                <w:rFonts w:ascii="Arial" w:hAnsi="Arial" w:cs="Arial"/>
              </w:rPr>
            </w:pPr>
          </w:p>
        </w:tc>
      </w:tr>
      <w:tr w:rsidR="009A2C28" w:rsidRPr="002C2CC0" w14:paraId="0D99F021" w14:textId="77777777" w:rsidTr="00AB58D2">
        <w:tc>
          <w:tcPr>
            <w:tcW w:w="2830" w:type="dxa"/>
          </w:tcPr>
          <w:p w14:paraId="256D32F4" w14:textId="77777777" w:rsidR="009A2C28" w:rsidRPr="002C2CC0" w:rsidRDefault="009A2C28" w:rsidP="00E13F82">
            <w:pPr>
              <w:snapToGrid w:val="0"/>
              <w:rPr>
                <w:rFonts w:ascii="Arial" w:hAnsi="Arial" w:cs="Arial"/>
                <w:sz w:val="22"/>
                <w:szCs w:val="22"/>
              </w:rPr>
            </w:pPr>
            <w:r w:rsidRPr="002C2CC0">
              <w:rPr>
                <w:rFonts w:ascii="Arial" w:hAnsi="Arial" w:cs="Arial"/>
                <w:sz w:val="22"/>
                <w:szCs w:val="22"/>
              </w:rPr>
              <w:lastRenderedPageBreak/>
              <w:t>Disclosures to protect the patient</w:t>
            </w:r>
          </w:p>
        </w:tc>
        <w:tc>
          <w:tcPr>
            <w:tcW w:w="11199" w:type="dxa"/>
          </w:tcPr>
          <w:p w14:paraId="6948717C" w14:textId="77777777" w:rsidR="009A2C28" w:rsidRPr="002C2CC0" w:rsidRDefault="009A2C28" w:rsidP="00E13F82">
            <w:pPr>
              <w:pStyle w:val="NoSpacing"/>
              <w:snapToGrid w:val="0"/>
              <w:rPr>
                <w:rFonts w:ascii="Arial" w:hAnsi="Arial" w:cs="Arial"/>
              </w:rPr>
            </w:pPr>
            <w:r w:rsidRPr="002C2CC0">
              <w:rPr>
                <w:rFonts w:ascii="Arial" w:hAnsi="Arial" w:cs="Arial"/>
              </w:rPr>
              <w:t>It may be appropriate to encourage patients to consent to disclosures that this organisation considers necessary for their protection, and to warn them of the risks of refusing to consent, but the organisation should usually abide by a competent adult patient’s refusal to consent to disclosure even if their decision leaves them, but nobody else, at risk of serious harm.</w:t>
            </w:r>
          </w:p>
          <w:p w14:paraId="1B36A0C1" w14:textId="77777777" w:rsidR="009A2C28" w:rsidRPr="002C2CC0" w:rsidRDefault="009A2C28" w:rsidP="00E13F82">
            <w:pPr>
              <w:pStyle w:val="NoSpacing"/>
              <w:snapToGrid w:val="0"/>
              <w:rPr>
                <w:rFonts w:ascii="Arial" w:hAnsi="Arial" w:cs="Arial"/>
              </w:rPr>
            </w:pPr>
          </w:p>
          <w:p w14:paraId="19C1C583" w14:textId="77777777" w:rsidR="009A2C28" w:rsidRPr="002C2CC0" w:rsidRDefault="009A2C28" w:rsidP="00E13F82">
            <w:pPr>
              <w:pStyle w:val="NoSpacing"/>
              <w:snapToGrid w:val="0"/>
              <w:rPr>
                <w:rFonts w:ascii="Arial" w:hAnsi="Arial" w:cs="Arial"/>
              </w:rPr>
            </w:pPr>
            <w:r w:rsidRPr="002C2CC0">
              <w:rPr>
                <w:rFonts w:ascii="Arial" w:hAnsi="Arial" w:cs="Arial"/>
              </w:rPr>
              <w:t>This organisation should endeavour to provide patients with the information and support they need to make decisions in their own interests (e.g., by arranging contact with relevant external agencies or organisations).</w:t>
            </w:r>
          </w:p>
          <w:p w14:paraId="39C2EB50" w14:textId="77777777" w:rsidR="009A2C28" w:rsidRPr="002C2CC0" w:rsidRDefault="009A2C28" w:rsidP="00E13F82">
            <w:pPr>
              <w:pStyle w:val="NoSpacing"/>
              <w:snapToGrid w:val="0"/>
              <w:rPr>
                <w:rFonts w:ascii="Arial" w:hAnsi="Arial" w:cs="Arial"/>
              </w:rPr>
            </w:pPr>
          </w:p>
          <w:p w14:paraId="05CA22CC" w14:textId="77777777" w:rsidR="009A2C28" w:rsidRPr="002C2CC0" w:rsidRDefault="009A2C28" w:rsidP="00E13F82">
            <w:pPr>
              <w:pStyle w:val="NoSpacing"/>
              <w:snapToGrid w:val="0"/>
              <w:rPr>
                <w:rFonts w:ascii="Arial" w:hAnsi="Arial" w:cs="Arial"/>
              </w:rPr>
            </w:pPr>
            <w:r w:rsidRPr="002C2CC0">
              <w:rPr>
                <w:rFonts w:ascii="Arial" w:hAnsi="Arial" w:cs="Arial"/>
              </w:rPr>
              <w:t xml:space="preserve">Disclosure without consent may be justified if it is not practicable to seek a patient’s consent. </w:t>
            </w:r>
            <w:bookmarkStart w:id="146" w:name="_Hlk57121607"/>
            <w:r w:rsidRPr="002C2CC0">
              <w:rPr>
                <w:rFonts w:ascii="Arial" w:hAnsi="Arial" w:cs="Arial"/>
              </w:rPr>
              <w:t xml:space="preserve">Additional information is available from </w:t>
            </w:r>
            <w:hyperlink r:id="rId20" w:history="1">
              <w:r w:rsidRPr="002C2CC0">
                <w:rPr>
                  <w:rStyle w:val="Hyperlink"/>
                  <w:rFonts w:ascii="Arial" w:hAnsi="Arial" w:cs="Arial"/>
                </w:rPr>
                <w:t>GMC – Using and Disclosing Patient Information for Direct Care</w:t>
              </w:r>
            </w:hyperlink>
            <w:r w:rsidRPr="002C2CC0">
              <w:rPr>
                <w:rStyle w:val="Hyperlink"/>
                <w:rFonts w:ascii="Arial" w:hAnsi="Arial" w:cs="Arial"/>
                <w:color w:val="auto"/>
                <w:u w:val="none"/>
              </w:rPr>
              <w:t>.</w:t>
            </w:r>
            <w:r w:rsidRPr="002C2CC0">
              <w:rPr>
                <w:rFonts w:ascii="Arial" w:hAnsi="Arial" w:cs="Arial"/>
              </w:rPr>
              <w:t xml:space="preserve"> </w:t>
            </w:r>
          </w:p>
          <w:bookmarkEnd w:id="146"/>
          <w:p w14:paraId="36A5B192" w14:textId="77777777" w:rsidR="009A2C28" w:rsidRPr="002C2CC0" w:rsidRDefault="009A2C28" w:rsidP="00E13F82">
            <w:pPr>
              <w:snapToGrid w:val="0"/>
              <w:rPr>
                <w:rFonts w:ascii="Arial" w:hAnsi="Arial" w:cs="Arial"/>
                <w:sz w:val="22"/>
                <w:szCs w:val="22"/>
              </w:rPr>
            </w:pPr>
          </w:p>
        </w:tc>
      </w:tr>
      <w:tr w:rsidR="009A2C28" w:rsidRPr="002C2CC0" w14:paraId="6BA42F7A" w14:textId="77777777" w:rsidTr="00AB58D2">
        <w:tc>
          <w:tcPr>
            <w:tcW w:w="2830" w:type="dxa"/>
          </w:tcPr>
          <w:p w14:paraId="659DDD68" w14:textId="77777777" w:rsidR="009A2C28" w:rsidRPr="002C2CC0" w:rsidRDefault="009A2C28" w:rsidP="00E13F82">
            <w:pPr>
              <w:snapToGrid w:val="0"/>
              <w:rPr>
                <w:rFonts w:ascii="Arial" w:hAnsi="Arial" w:cs="Arial"/>
                <w:sz w:val="22"/>
                <w:szCs w:val="22"/>
              </w:rPr>
            </w:pPr>
            <w:r w:rsidRPr="002C2CC0">
              <w:rPr>
                <w:rFonts w:ascii="Arial" w:hAnsi="Arial" w:cs="Arial"/>
                <w:sz w:val="22"/>
                <w:szCs w:val="22"/>
              </w:rPr>
              <w:t>Disclosures to protect others</w:t>
            </w:r>
          </w:p>
        </w:tc>
        <w:tc>
          <w:tcPr>
            <w:tcW w:w="11199" w:type="dxa"/>
          </w:tcPr>
          <w:p w14:paraId="7443BA31" w14:textId="77777777" w:rsidR="009A2C28" w:rsidRPr="002C2CC0" w:rsidRDefault="009A2C28" w:rsidP="00E13F82">
            <w:pPr>
              <w:pStyle w:val="NoSpacing"/>
              <w:snapToGrid w:val="0"/>
              <w:rPr>
                <w:rFonts w:ascii="Arial" w:hAnsi="Arial" w:cs="Arial"/>
              </w:rPr>
            </w:pPr>
            <w:r w:rsidRPr="002C2CC0">
              <w:rPr>
                <w:rFonts w:ascii="Arial" w:hAnsi="Arial" w:cs="Arial"/>
              </w:rPr>
              <w:t>The disclosure of personal information about a patient without consent may be justified in the public interest if the failure to disclose may expose others to a risk of death or serious harm. The organisation should still seek the patient’s consent to disclosure if practicable and consider any reasons given for refusal.</w:t>
            </w:r>
          </w:p>
          <w:p w14:paraId="654ADAB7" w14:textId="77777777" w:rsidR="009A2C28" w:rsidRPr="002C2CC0" w:rsidRDefault="009A2C28" w:rsidP="00E13F82">
            <w:pPr>
              <w:pStyle w:val="NoSpacing"/>
              <w:snapToGrid w:val="0"/>
              <w:rPr>
                <w:rFonts w:ascii="Arial" w:hAnsi="Arial" w:cs="Arial"/>
              </w:rPr>
            </w:pPr>
          </w:p>
          <w:p w14:paraId="03B5947F" w14:textId="77777777" w:rsidR="009A2C28" w:rsidRPr="002C2CC0" w:rsidRDefault="009A2C28" w:rsidP="00E13F82">
            <w:pPr>
              <w:pStyle w:val="NoSpacing"/>
              <w:snapToGrid w:val="0"/>
              <w:rPr>
                <w:rFonts w:ascii="Arial" w:hAnsi="Arial" w:cs="Arial"/>
              </w:rPr>
            </w:pPr>
            <w:r w:rsidRPr="002C2CC0">
              <w:rPr>
                <w:rFonts w:ascii="Arial" w:hAnsi="Arial" w:cs="Arial"/>
              </w:rPr>
              <w:t>Such a situation might arise, for example, when a disclosure would be likely to assist in the prevention, detection or prosecution of serious crime, especially crimes against the person. When victims of violence refuse police assistance, disclosure may still be justified if others remain at risk, (e.g., from someone who is prepared to use weapons, or from domestic violence when children or others may be at risk).</w:t>
            </w:r>
          </w:p>
          <w:p w14:paraId="680E82D5" w14:textId="77777777" w:rsidR="009A2C28" w:rsidRPr="002C2CC0" w:rsidRDefault="009A2C28" w:rsidP="00E13F82">
            <w:pPr>
              <w:pStyle w:val="NoSpacing"/>
              <w:snapToGrid w:val="0"/>
              <w:rPr>
                <w:rFonts w:ascii="Arial" w:hAnsi="Arial" w:cs="Arial"/>
              </w:rPr>
            </w:pPr>
          </w:p>
          <w:p w14:paraId="0FBE1626" w14:textId="77777777" w:rsidR="009A2C28" w:rsidRPr="002C2CC0" w:rsidRDefault="009A2C28" w:rsidP="00E13F82">
            <w:pPr>
              <w:pStyle w:val="NoSpacing"/>
              <w:snapToGrid w:val="0"/>
              <w:rPr>
                <w:rFonts w:ascii="Arial" w:hAnsi="Arial" w:cs="Arial"/>
              </w:rPr>
            </w:pPr>
            <w:r w:rsidRPr="002C2CC0">
              <w:rPr>
                <w:rFonts w:ascii="Arial" w:hAnsi="Arial" w:cs="Arial"/>
              </w:rPr>
              <w:lastRenderedPageBreak/>
              <w:t>If a patient’s refusal to consent to disclosure leaves others exposed to a risk so serious that it outweighs the patient’s and the public interest in maintaining confidentiality, or if it is not practicable or safe to seek the patient’s consent, this organisation should disclose the information promptly to an appropriate person or authority. This organisation should inform the patient before disclosing the information, if practicable and safe, even if they intend to disclose without their consent.</w:t>
            </w:r>
          </w:p>
          <w:p w14:paraId="0A647172" w14:textId="77777777" w:rsidR="009A2C28" w:rsidRPr="002C2CC0" w:rsidRDefault="009A2C28" w:rsidP="00E13F82">
            <w:pPr>
              <w:pStyle w:val="NoSpacing"/>
              <w:snapToGrid w:val="0"/>
              <w:rPr>
                <w:rFonts w:ascii="Arial" w:hAnsi="Arial" w:cs="Arial"/>
              </w:rPr>
            </w:pPr>
          </w:p>
          <w:p w14:paraId="4A60DA63" w14:textId="77777777" w:rsidR="009A2C28" w:rsidRPr="002C2CC0" w:rsidRDefault="009A2C28" w:rsidP="00E13F82">
            <w:pPr>
              <w:pStyle w:val="NoSpacing"/>
              <w:snapToGrid w:val="0"/>
              <w:rPr>
                <w:rFonts w:ascii="Arial" w:hAnsi="Arial" w:cs="Arial"/>
              </w:rPr>
            </w:pPr>
            <w:r w:rsidRPr="002C2CC0">
              <w:rPr>
                <w:rFonts w:ascii="Arial" w:hAnsi="Arial" w:cs="Arial"/>
              </w:rPr>
              <w:t>This organisation should participate in those procedures set up to protect the public from violent and sex offenders and co-operate with requests for relevant information about patients who may pose a risk of serious harm to others.</w:t>
            </w:r>
          </w:p>
          <w:p w14:paraId="00A6D5BF" w14:textId="77777777" w:rsidR="009A2C28" w:rsidRPr="002C2CC0" w:rsidRDefault="009A2C28" w:rsidP="00E13F82">
            <w:pPr>
              <w:pStyle w:val="NoSpacing"/>
              <w:snapToGrid w:val="0"/>
              <w:rPr>
                <w:rFonts w:ascii="Arial" w:hAnsi="Arial" w:cs="Arial"/>
              </w:rPr>
            </w:pPr>
          </w:p>
          <w:p w14:paraId="1B62A255" w14:textId="0451387E" w:rsidR="009A2C28" w:rsidRPr="002C2CC0" w:rsidRDefault="009A2C28" w:rsidP="00E13F82">
            <w:pPr>
              <w:pStyle w:val="NoSpacing"/>
              <w:snapToGrid w:val="0"/>
              <w:rPr>
                <w:rFonts w:ascii="Arial" w:hAnsi="Arial" w:cs="Arial"/>
              </w:rPr>
            </w:pPr>
            <w:r w:rsidRPr="002C2CC0">
              <w:rPr>
                <w:rFonts w:ascii="Arial" w:hAnsi="Arial" w:cs="Arial"/>
              </w:rPr>
              <w:t>Additional information is available from</w:t>
            </w:r>
            <w:r w:rsidR="00683F4D">
              <w:rPr>
                <w:rFonts w:ascii="Arial" w:hAnsi="Arial" w:cs="Arial"/>
              </w:rPr>
              <w:t xml:space="preserve"> the following GMC guidance</w:t>
            </w:r>
            <w:r w:rsidRPr="002C2CC0">
              <w:rPr>
                <w:rFonts w:ascii="Arial" w:hAnsi="Arial" w:cs="Arial"/>
              </w:rPr>
              <w:t xml:space="preserve"> </w:t>
            </w:r>
            <w:hyperlink r:id="rId21" w:history="1">
              <w:r w:rsidR="00683F4D">
                <w:rPr>
                  <w:rStyle w:val="Hyperlink"/>
                  <w:rFonts w:ascii="Arial" w:hAnsi="Arial" w:cs="Arial"/>
                </w:rPr>
                <w:t>Disclosures for the protection of patients and others</w:t>
              </w:r>
            </w:hyperlink>
            <w:r w:rsidR="00683F4D">
              <w:rPr>
                <w:rFonts w:ascii="Arial" w:hAnsi="Arial" w:cs="Arial"/>
              </w:rPr>
              <w:t xml:space="preserve"> and </w:t>
            </w:r>
            <w:hyperlink r:id="rId22" w:history="1">
              <w:r w:rsidR="00683F4D" w:rsidRPr="00683F4D">
                <w:rPr>
                  <w:rStyle w:val="Hyperlink"/>
                  <w:rFonts w:ascii="Arial" w:hAnsi="Arial" w:cs="Arial"/>
                </w:rPr>
                <w:t>Confidentiality; reporting gunshot and knife wounds</w:t>
              </w:r>
            </w:hyperlink>
            <w:r w:rsidR="00683F4D">
              <w:rPr>
                <w:rFonts w:ascii="Arial" w:hAnsi="Arial" w:cs="Arial"/>
              </w:rPr>
              <w:t>.</w:t>
            </w:r>
          </w:p>
          <w:p w14:paraId="31FA5539" w14:textId="77777777" w:rsidR="009A2C28" w:rsidRPr="002C2CC0" w:rsidRDefault="009A2C28" w:rsidP="00E13F82">
            <w:pPr>
              <w:snapToGrid w:val="0"/>
              <w:rPr>
                <w:rFonts w:ascii="Arial" w:hAnsi="Arial" w:cs="Arial"/>
                <w:sz w:val="22"/>
                <w:szCs w:val="22"/>
              </w:rPr>
            </w:pPr>
          </w:p>
        </w:tc>
      </w:tr>
      <w:tr w:rsidR="009A2C28" w:rsidRPr="00EB4023" w14:paraId="7A7C97F0" w14:textId="77777777" w:rsidTr="00AB58D2">
        <w:tc>
          <w:tcPr>
            <w:tcW w:w="2830" w:type="dxa"/>
          </w:tcPr>
          <w:p w14:paraId="14BE539F" w14:textId="77777777" w:rsidR="009A2C28" w:rsidRPr="00EB4023" w:rsidRDefault="009A2C28" w:rsidP="00E13F82">
            <w:pPr>
              <w:snapToGrid w:val="0"/>
              <w:rPr>
                <w:rFonts w:ascii="Arial" w:hAnsi="Arial" w:cs="Arial"/>
                <w:sz w:val="22"/>
                <w:szCs w:val="22"/>
              </w:rPr>
            </w:pPr>
            <w:r w:rsidRPr="00EB4023">
              <w:rPr>
                <w:rFonts w:ascii="Arial" w:hAnsi="Arial" w:cs="Arial"/>
                <w:sz w:val="22"/>
                <w:szCs w:val="22"/>
              </w:rPr>
              <w:lastRenderedPageBreak/>
              <w:t>Disclosing information about serious communicable diseases</w:t>
            </w:r>
          </w:p>
        </w:tc>
        <w:tc>
          <w:tcPr>
            <w:tcW w:w="11199" w:type="dxa"/>
          </w:tcPr>
          <w:p w14:paraId="649AB308" w14:textId="77777777" w:rsidR="009A2C28" w:rsidRPr="00EB4023" w:rsidRDefault="009A2C28" w:rsidP="00E13F82">
            <w:pPr>
              <w:pStyle w:val="NoSpacing"/>
              <w:snapToGrid w:val="0"/>
              <w:rPr>
                <w:rFonts w:ascii="Arial" w:hAnsi="Arial" w:cs="Arial"/>
              </w:rPr>
            </w:pPr>
            <w:r w:rsidRPr="00EB4023">
              <w:rPr>
                <w:rFonts w:ascii="Arial" w:hAnsi="Arial" w:cs="Arial"/>
              </w:rPr>
              <w:t xml:space="preserve">Confidentiality is important to all patients. Those who have, or may have, a serious communicable disease might be particularly concerned about their privacy. This organisation should make sure that information held, or control about a patient’s infection status, is always effectively protected against improper disclosure. </w:t>
            </w:r>
          </w:p>
          <w:p w14:paraId="1DD3238F" w14:textId="77777777" w:rsidR="009A2C28" w:rsidRPr="00EB4023" w:rsidRDefault="009A2C28" w:rsidP="00E13F82">
            <w:pPr>
              <w:pStyle w:val="NoSpacing"/>
              <w:snapToGrid w:val="0"/>
              <w:rPr>
                <w:rFonts w:ascii="Arial" w:hAnsi="Arial" w:cs="Arial"/>
              </w:rPr>
            </w:pPr>
          </w:p>
          <w:p w14:paraId="4807DCC5" w14:textId="77777777" w:rsidR="009A2C28" w:rsidRPr="00EB4023" w:rsidRDefault="009A2C28" w:rsidP="00E13F82">
            <w:pPr>
              <w:pStyle w:val="NoSpacing"/>
              <w:snapToGrid w:val="0"/>
              <w:rPr>
                <w:rFonts w:ascii="Arial" w:hAnsi="Arial" w:cs="Arial"/>
              </w:rPr>
            </w:pPr>
            <w:r w:rsidRPr="00EB4023">
              <w:rPr>
                <w:rFonts w:ascii="Arial" w:hAnsi="Arial" w:cs="Arial"/>
              </w:rPr>
              <w:t xml:space="preserve">All patients are entitled to good standards of care, regardless of their status, what disease they might have or how </w:t>
            </w:r>
            <w:r>
              <w:rPr>
                <w:rFonts w:ascii="Arial" w:hAnsi="Arial" w:cs="Arial"/>
              </w:rPr>
              <w:t>it was</w:t>
            </w:r>
            <w:r w:rsidRPr="00EB4023">
              <w:rPr>
                <w:rFonts w:ascii="Arial" w:hAnsi="Arial" w:cs="Arial"/>
              </w:rPr>
              <w:t xml:space="preserve"> acquired.</w:t>
            </w:r>
          </w:p>
          <w:p w14:paraId="70AD57C4" w14:textId="77777777" w:rsidR="009A2C28" w:rsidRPr="00EB4023" w:rsidRDefault="009A2C28" w:rsidP="00E13F82">
            <w:pPr>
              <w:pStyle w:val="NoSpacing"/>
              <w:snapToGrid w:val="0"/>
              <w:rPr>
                <w:rFonts w:ascii="Arial" w:hAnsi="Arial" w:cs="Arial"/>
              </w:rPr>
            </w:pPr>
          </w:p>
          <w:p w14:paraId="450CF11D" w14:textId="77777777" w:rsidR="009A2C28" w:rsidRPr="00EB4023" w:rsidRDefault="009A2C28" w:rsidP="00E13F82">
            <w:pPr>
              <w:pStyle w:val="NoSpacing"/>
              <w:snapToGrid w:val="0"/>
              <w:rPr>
                <w:rFonts w:ascii="Arial" w:hAnsi="Arial" w:cs="Arial"/>
                <w:b/>
                <w:bCs/>
              </w:rPr>
            </w:pPr>
            <w:r w:rsidRPr="00EB4023">
              <w:rPr>
                <w:rFonts w:ascii="Arial" w:hAnsi="Arial" w:cs="Arial"/>
                <w:b/>
                <w:bCs/>
              </w:rPr>
              <w:t>Healthcare workers who have or may have a serious communicable disease</w:t>
            </w:r>
          </w:p>
          <w:p w14:paraId="1C8AC991" w14:textId="77777777" w:rsidR="009A2C28" w:rsidRPr="00EB4023" w:rsidRDefault="009A2C28" w:rsidP="00E13F82">
            <w:pPr>
              <w:pStyle w:val="NoSpacing"/>
              <w:snapToGrid w:val="0"/>
              <w:rPr>
                <w:rFonts w:ascii="Arial" w:hAnsi="Arial" w:cs="Arial"/>
              </w:rPr>
            </w:pPr>
          </w:p>
          <w:p w14:paraId="136385F6" w14:textId="77777777" w:rsidR="009A2C28" w:rsidRPr="00EB4023" w:rsidRDefault="009A2C28" w:rsidP="00E13F82">
            <w:pPr>
              <w:pStyle w:val="NoSpacing"/>
              <w:snapToGrid w:val="0"/>
              <w:rPr>
                <w:rFonts w:ascii="Arial" w:hAnsi="Arial" w:cs="Arial"/>
              </w:rPr>
            </w:pPr>
            <w:r w:rsidRPr="00EB4023">
              <w:rPr>
                <w:rFonts w:ascii="Arial" w:hAnsi="Arial" w:cs="Arial"/>
              </w:rPr>
              <w:t xml:space="preserve">GMC </w:t>
            </w:r>
            <w:hyperlink r:id="rId23" w:anchor="keeping-patients-safe-7D0C1E66E9064011B3EFAB852B46BBD4" w:history="1">
              <w:r w:rsidRPr="00EB4023">
                <w:rPr>
                  <w:rStyle w:val="Hyperlink"/>
                  <w:rFonts w:ascii="Arial" w:hAnsi="Arial" w:cs="Arial"/>
                </w:rPr>
                <w:t>Good Medical Practice</w:t>
              </w:r>
            </w:hyperlink>
            <w:r w:rsidRPr="00EB4023">
              <w:rPr>
                <w:rFonts w:ascii="Arial" w:hAnsi="Arial" w:cs="Arial"/>
              </w:rPr>
              <w:t xml:space="preserve"> and also further guidance titled </w:t>
            </w:r>
            <w:hyperlink r:id="rId24" w:anchor="protecting-patients-from-risks-posed-by-your-health-or-your-colleagues-health-0F1F78D153AF43DB8F0C4A13E24ECF12" w:history="1">
              <w:r w:rsidRPr="00EB4023">
                <w:rPr>
                  <w:rStyle w:val="Hyperlink"/>
                  <w:rFonts w:ascii="Arial" w:hAnsi="Arial" w:cs="Arial"/>
                </w:rPr>
                <w:t>Disclosing information about serious communicable diseases</w:t>
              </w:r>
            </w:hyperlink>
            <w:r w:rsidRPr="00EB4023">
              <w:rPr>
                <w:rFonts w:ascii="Arial" w:hAnsi="Arial" w:cs="Arial"/>
              </w:rPr>
              <w:t xml:space="preserve"> provides detailed information</w:t>
            </w:r>
            <w:r>
              <w:rPr>
                <w:rFonts w:ascii="Arial" w:hAnsi="Arial" w:cs="Arial"/>
              </w:rPr>
              <w:t>.</w:t>
            </w:r>
            <w:r w:rsidRPr="00EB4023">
              <w:rPr>
                <w:rFonts w:ascii="Arial" w:hAnsi="Arial" w:cs="Arial"/>
              </w:rPr>
              <w:t xml:space="preserve"> </w:t>
            </w:r>
          </w:p>
          <w:p w14:paraId="6C16F060" w14:textId="77777777" w:rsidR="009A2C28" w:rsidRPr="00EB4023" w:rsidRDefault="009A2C28" w:rsidP="00E13F82">
            <w:pPr>
              <w:pStyle w:val="NoSpacing"/>
              <w:snapToGrid w:val="0"/>
              <w:rPr>
                <w:rFonts w:ascii="Arial" w:hAnsi="Arial" w:cs="Arial"/>
              </w:rPr>
            </w:pPr>
          </w:p>
          <w:p w14:paraId="4710940D" w14:textId="77777777" w:rsidR="009A2C28" w:rsidRPr="00EB4023" w:rsidRDefault="009A2C28" w:rsidP="00E13F82">
            <w:pPr>
              <w:pStyle w:val="NoSpacing"/>
              <w:snapToGrid w:val="0"/>
              <w:rPr>
                <w:rFonts w:ascii="Arial" w:hAnsi="Arial" w:cs="Arial"/>
                <w:b/>
                <w:bCs/>
              </w:rPr>
            </w:pPr>
            <w:r w:rsidRPr="00EB4023">
              <w:rPr>
                <w:rFonts w:ascii="Arial" w:hAnsi="Arial" w:cs="Arial"/>
                <w:b/>
                <w:bCs/>
              </w:rPr>
              <w:t>Patients who are diagnosed with a serious communicable disease</w:t>
            </w:r>
          </w:p>
          <w:p w14:paraId="620C9641" w14:textId="77777777" w:rsidR="009A2C28" w:rsidRPr="00EB4023" w:rsidRDefault="009A2C28" w:rsidP="00E13F82">
            <w:pPr>
              <w:pStyle w:val="NoSpacing"/>
              <w:snapToGrid w:val="0"/>
              <w:rPr>
                <w:rFonts w:ascii="Arial" w:hAnsi="Arial" w:cs="Arial"/>
              </w:rPr>
            </w:pPr>
          </w:p>
          <w:p w14:paraId="60D3205B" w14:textId="77777777" w:rsidR="007E3C3B" w:rsidRDefault="009A2C28" w:rsidP="00E13F82">
            <w:pPr>
              <w:pStyle w:val="NoSpacing"/>
              <w:snapToGrid w:val="0"/>
              <w:rPr>
                <w:rFonts w:ascii="Arial" w:hAnsi="Arial" w:cs="Arial"/>
              </w:rPr>
            </w:pPr>
            <w:r w:rsidRPr="00EB4023">
              <w:rPr>
                <w:rFonts w:ascii="Arial" w:hAnsi="Arial" w:cs="Arial"/>
              </w:rPr>
              <w:t xml:space="preserve">This organisation should make sure information is readily available to patients explaining that personal information about them will be shared within the healthcare team, including administrative and other staff who support the provision of care, unless they object, and why this is necessary. </w:t>
            </w:r>
          </w:p>
          <w:p w14:paraId="1863126F" w14:textId="77777777" w:rsidR="007E3C3B" w:rsidRDefault="007E3C3B" w:rsidP="00E13F82">
            <w:pPr>
              <w:pStyle w:val="NoSpacing"/>
              <w:snapToGrid w:val="0"/>
              <w:rPr>
                <w:rFonts w:ascii="Arial" w:hAnsi="Arial" w:cs="Arial"/>
              </w:rPr>
            </w:pPr>
          </w:p>
          <w:p w14:paraId="72B45DD2" w14:textId="6E06DD42" w:rsidR="009A2C28" w:rsidRDefault="009A2C28" w:rsidP="00E13F82">
            <w:pPr>
              <w:pStyle w:val="NoSpacing"/>
              <w:snapToGrid w:val="0"/>
              <w:rPr>
                <w:rFonts w:ascii="Arial" w:hAnsi="Arial" w:cs="Arial"/>
              </w:rPr>
            </w:pPr>
            <w:r w:rsidRPr="00EB4023">
              <w:rPr>
                <w:rFonts w:ascii="Arial" w:hAnsi="Arial" w:cs="Arial"/>
              </w:rPr>
              <w:t>If a patient refuses to allow this organisation to inform a third party of their infection status, this organisation must respect their wishes unless they consider that failure to disclose the information will put healthcare workers or other patients at risk of infection.</w:t>
            </w:r>
          </w:p>
          <w:p w14:paraId="0BCC682B" w14:textId="77777777" w:rsidR="007E3C3B" w:rsidRPr="00EB4023" w:rsidRDefault="007E3C3B" w:rsidP="00E13F82">
            <w:pPr>
              <w:pStyle w:val="NoSpacing"/>
              <w:snapToGrid w:val="0"/>
              <w:rPr>
                <w:rFonts w:ascii="Arial" w:hAnsi="Arial" w:cs="Arial"/>
              </w:rPr>
            </w:pPr>
          </w:p>
          <w:p w14:paraId="2D6372D2" w14:textId="77777777" w:rsidR="009A2C28" w:rsidRPr="00EB4023" w:rsidRDefault="009A2C28" w:rsidP="00E13F82">
            <w:pPr>
              <w:pStyle w:val="NoSpacing"/>
              <w:snapToGrid w:val="0"/>
              <w:rPr>
                <w:rFonts w:ascii="Arial" w:hAnsi="Arial" w:cs="Arial"/>
                <w:b/>
                <w:bCs/>
              </w:rPr>
            </w:pPr>
            <w:r w:rsidRPr="00EB4023">
              <w:rPr>
                <w:rFonts w:ascii="Arial" w:hAnsi="Arial" w:cs="Arial"/>
                <w:b/>
                <w:bCs/>
              </w:rPr>
              <w:lastRenderedPageBreak/>
              <w:t>Informing sexual contacts of patients with a serious communicable disease</w:t>
            </w:r>
          </w:p>
          <w:p w14:paraId="5B38BE00" w14:textId="77777777" w:rsidR="009A2C28" w:rsidRPr="00EB4023" w:rsidRDefault="009A2C28" w:rsidP="00E13F82">
            <w:pPr>
              <w:pStyle w:val="NoSpacing"/>
              <w:snapToGrid w:val="0"/>
              <w:rPr>
                <w:rFonts w:ascii="Arial" w:hAnsi="Arial" w:cs="Arial"/>
                <w:b/>
                <w:bCs/>
              </w:rPr>
            </w:pPr>
          </w:p>
          <w:p w14:paraId="2ADDEC6E" w14:textId="77777777" w:rsidR="009A2C28" w:rsidRPr="00EB4023" w:rsidRDefault="009A2C28" w:rsidP="00E13F82">
            <w:pPr>
              <w:pStyle w:val="NoSpacing"/>
              <w:snapToGrid w:val="0"/>
              <w:rPr>
                <w:rFonts w:ascii="Arial" w:hAnsi="Arial" w:cs="Arial"/>
              </w:rPr>
            </w:pPr>
            <w:r w:rsidRPr="00EB4023">
              <w:rPr>
                <w:rFonts w:ascii="Arial" w:hAnsi="Arial" w:cs="Arial"/>
              </w:rPr>
              <w:t>This organisation may disclose information to a known sexual contact of a patient with a sexually transmitted serious communicable disease if they have reason to think that they are at risk of infection and that the patient has not informed them and cannot be persuaded to do so.</w:t>
            </w:r>
          </w:p>
          <w:p w14:paraId="1EC3F70E" w14:textId="77777777" w:rsidR="009A2C28" w:rsidRPr="00EB4023" w:rsidRDefault="009A2C28" w:rsidP="00E13F82">
            <w:pPr>
              <w:pStyle w:val="NoSpacing"/>
              <w:snapToGrid w:val="0"/>
              <w:rPr>
                <w:rFonts w:ascii="Arial" w:hAnsi="Arial" w:cs="Arial"/>
              </w:rPr>
            </w:pPr>
          </w:p>
          <w:p w14:paraId="5EE98550" w14:textId="77777777" w:rsidR="009A2C28" w:rsidRPr="00EB4023" w:rsidRDefault="009A2C28" w:rsidP="00E13F82">
            <w:pPr>
              <w:pStyle w:val="NoSpacing"/>
              <w:snapToGrid w:val="0"/>
              <w:rPr>
                <w:rFonts w:ascii="Arial" w:hAnsi="Arial" w:cs="Arial"/>
              </w:rPr>
            </w:pPr>
            <w:r w:rsidRPr="00EB4023">
              <w:rPr>
                <w:rFonts w:ascii="Arial" w:hAnsi="Arial" w:cs="Arial"/>
              </w:rPr>
              <w:t>In such circumstances, the organisation should tell the patient before the disclosure is made, if it is practicable and safe to do so. This organisation must be prepared to justify a decision to disclose personal information without consent. Tracing contacts and notifying partners should be done through the normal GP; the identity of the patient should not be disclosed, if practicable.</w:t>
            </w:r>
          </w:p>
          <w:p w14:paraId="3FAC34DD" w14:textId="77777777" w:rsidR="009A2C28" w:rsidRPr="00EB4023" w:rsidRDefault="009A2C28" w:rsidP="00E13F82">
            <w:pPr>
              <w:pStyle w:val="NoSpacing"/>
              <w:snapToGrid w:val="0"/>
              <w:rPr>
                <w:rFonts w:ascii="Arial" w:hAnsi="Arial" w:cs="Arial"/>
              </w:rPr>
            </w:pPr>
          </w:p>
          <w:p w14:paraId="4C74E437" w14:textId="77777777" w:rsidR="009A2C28" w:rsidRPr="00EB4023" w:rsidRDefault="009A2C28" w:rsidP="00E13F82">
            <w:pPr>
              <w:pStyle w:val="NoSpacing"/>
              <w:snapToGrid w:val="0"/>
              <w:rPr>
                <w:rFonts w:ascii="Arial" w:hAnsi="Arial" w:cs="Arial"/>
              </w:rPr>
            </w:pPr>
            <w:r w:rsidRPr="00EB4023">
              <w:rPr>
                <w:rFonts w:ascii="Arial" w:hAnsi="Arial" w:cs="Arial"/>
              </w:rPr>
              <w:t>For information: In this guidance, the term ‘serious communicable disease’ applies to any disease that can be transmitted from human to human and that can result in death or serious illness. It particularly applies to, but is not limited to, HIV, tuberculosis and hepatitis B and C.</w:t>
            </w:r>
          </w:p>
          <w:p w14:paraId="3B63FB55" w14:textId="77777777" w:rsidR="009A2C28" w:rsidRPr="00EB4023" w:rsidRDefault="009A2C28" w:rsidP="00E13F82">
            <w:pPr>
              <w:pStyle w:val="NoSpacing"/>
              <w:snapToGrid w:val="0"/>
              <w:rPr>
                <w:rFonts w:ascii="Arial" w:hAnsi="Arial" w:cs="Arial"/>
              </w:rPr>
            </w:pPr>
          </w:p>
          <w:p w14:paraId="05ADAE32" w14:textId="77777777" w:rsidR="009A2C28" w:rsidRPr="00EB4023" w:rsidRDefault="009A2C28" w:rsidP="00E13F82">
            <w:pPr>
              <w:pStyle w:val="NoSpacing"/>
              <w:snapToGrid w:val="0"/>
              <w:rPr>
                <w:rFonts w:ascii="Arial" w:hAnsi="Arial" w:cs="Arial"/>
              </w:rPr>
            </w:pPr>
            <w:hyperlink r:id="rId25" w:history="1">
              <w:r w:rsidRPr="00EB4023">
                <w:rPr>
                  <w:rStyle w:val="Hyperlink"/>
                  <w:rFonts w:ascii="Arial" w:hAnsi="Arial" w:cs="Arial"/>
                </w:rPr>
                <w:t>The NHS (Venereal Diseases) Regulations 1974</w:t>
              </w:r>
            </w:hyperlink>
            <w:r w:rsidRPr="00EB4023">
              <w:rPr>
                <w:rFonts w:ascii="Arial" w:hAnsi="Arial" w:cs="Arial"/>
              </w:rPr>
              <w:t xml:space="preserve"> state that various NHS bodies in England and Wales must:</w:t>
            </w:r>
          </w:p>
          <w:p w14:paraId="73005E1F" w14:textId="77777777" w:rsidR="009A2C28" w:rsidRPr="00EB4023" w:rsidRDefault="009A2C28" w:rsidP="00E13F82">
            <w:pPr>
              <w:pStyle w:val="NoSpacing"/>
              <w:snapToGrid w:val="0"/>
              <w:rPr>
                <w:rFonts w:ascii="Arial" w:hAnsi="Arial" w:cs="Arial"/>
              </w:rPr>
            </w:pPr>
          </w:p>
          <w:p w14:paraId="7027C0AC" w14:textId="77777777" w:rsidR="009A2C28" w:rsidRPr="00EB4023" w:rsidRDefault="009A2C28" w:rsidP="00E13F82">
            <w:pPr>
              <w:pStyle w:val="NoSpacing"/>
              <w:snapToGrid w:val="0"/>
              <w:rPr>
                <w:rFonts w:ascii="Arial" w:hAnsi="Arial" w:cs="Arial"/>
                <w:i/>
                <w:iCs/>
              </w:rPr>
            </w:pPr>
            <w:r w:rsidRPr="00EB4023">
              <w:rPr>
                <w:rFonts w:ascii="Arial" w:hAnsi="Arial" w:cs="Arial"/>
                <w:i/>
                <w:iCs/>
              </w:rPr>
              <w:t>“Take all necessary steps to secure that any information capable of identifying an individual… with respect to persons examined or treated for any sexually transmitted disease shall not be disclosed except:</w:t>
            </w:r>
          </w:p>
          <w:p w14:paraId="4017789A" w14:textId="77777777" w:rsidR="009A2C28" w:rsidRPr="00EB4023" w:rsidRDefault="009A2C28" w:rsidP="00E13F82">
            <w:pPr>
              <w:pStyle w:val="NoSpacing"/>
              <w:snapToGrid w:val="0"/>
              <w:rPr>
                <w:rFonts w:ascii="Arial" w:hAnsi="Arial" w:cs="Arial"/>
              </w:rPr>
            </w:pPr>
          </w:p>
          <w:p w14:paraId="5F7A77FF" w14:textId="77777777" w:rsidR="009A2C28" w:rsidRDefault="009A2C28" w:rsidP="0058781F">
            <w:pPr>
              <w:pStyle w:val="NoSpacing"/>
              <w:numPr>
                <w:ilvl w:val="0"/>
                <w:numId w:val="24"/>
              </w:numPr>
              <w:snapToGrid w:val="0"/>
              <w:rPr>
                <w:rFonts w:ascii="Arial" w:hAnsi="Arial" w:cs="Arial"/>
                <w:i/>
                <w:iCs/>
              </w:rPr>
            </w:pPr>
            <w:r w:rsidRPr="00EB4023">
              <w:rPr>
                <w:rFonts w:ascii="Arial" w:hAnsi="Arial" w:cs="Arial"/>
                <w:i/>
                <w:iCs/>
              </w:rPr>
              <w:t>To communicate that information to a medical practitioner, or to a person employed under the direction of a medical practitioner in connection with the treatment of persons suffering from such disease or the prevention of the spread thereof, and</w:t>
            </w:r>
          </w:p>
          <w:p w14:paraId="785A597C" w14:textId="77777777" w:rsidR="009A2C28" w:rsidRDefault="009A2C28" w:rsidP="00E13F82">
            <w:pPr>
              <w:pStyle w:val="NoSpacing"/>
              <w:snapToGrid w:val="0"/>
              <w:ind w:left="720"/>
              <w:rPr>
                <w:rFonts w:ascii="Arial" w:hAnsi="Arial" w:cs="Arial"/>
                <w:i/>
                <w:iCs/>
              </w:rPr>
            </w:pPr>
          </w:p>
          <w:p w14:paraId="3D27E0CF" w14:textId="77777777" w:rsidR="009A2C28" w:rsidRPr="00C131D4" w:rsidRDefault="009A2C28" w:rsidP="0058781F">
            <w:pPr>
              <w:pStyle w:val="NoSpacing"/>
              <w:numPr>
                <w:ilvl w:val="0"/>
                <w:numId w:val="24"/>
              </w:numPr>
              <w:snapToGrid w:val="0"/>
              <w:rPr>
                <w:rFonts w:ascii="Arial" w:hAnsi="Arial" w:cs="Arial"/>
                <w:i/>
                <w:iCs/>
              </w:rPr>
            </w:pPr>
            <w:r w:rsidRPr="00C131D4">
              <w:rPr>
                <w:rFonts w:ascii="Arial" w:hAnsi="Arial" w:cs="Arial"/>
                <w:i/>
                <w:iCs/>
              </w:rPr>
              <w:t>For the purpose of such treatment and prevention.”</w:t>
            </w:r>
          </w:p>
          <w:p w14:paraId="3DE83B4B" w14:textId="77777777" w:rsidR="009A2C28" w:rsidRPr="00EB4023" w:rsidRDefault="009A2C28" w:rsidP="00E13F82">
            <w:pPr>
              <w:pStyle w:val="NoSpacing"/>
              <w:snapToGrid w:val="0"/>
              <w:rPr>
                <w:rFonts w:ascii="Arial" w:hAnsi="Arial" w:cs="Arial"/>
              </w:rPr>
            </w:pPr>
          </w:p>
          <w:p w14:paraId="11377AC6" w14:textId="77777777" w:rsidR="009A2C28" w:rsidRPr="00EB4023" w:rsidRDefault="009A2C28" w:rsidP="00E13F82">
            <w:pPr>
              <w:pStyle w:val="NoSpacing"/>
              <w:snapToGrid w:val="0"/>
              <w:rPr>
                <w:rFonts w:ascii="Arial" w:hAnsi="Arial" w:cs="Arial"/>
              </w:rPr>
            </w:pPr>
            <w:r w:rsidRPr="00EB4023">
              <w:rPr>
                <w:rFonts w:ascii="Arial" w:hAnsi="Arial" w:cs="Arial"/>
              </w:rPr>
              <w:t xml:space="preserve">There are different interpretations of the Regulations and Directions and concerns about their compatibility with the European Convention on Human Rights. There have been concerns that a strict interpretation would prevent the disclosure of relevant information, except to other doctors or those working under their supervision, even with the patient’s consent or to </w:t>
            </w:r>
            <w:proofErr w:type="spellStart"/>
            <w:r w:rsidRPr="00EB4023">
              <w:rPr>
                <w:rFonts w:ascii="Arial" w:hAnsi="Arial" w:cs="Arial"/>
              </w:rPr>
              <w:t>known</w:t>
            </w:r>
            <w:proofErr w:type="spellEnd"/>
            <w:r w:rsidRPr="00EB4023">
              <w:rPr>
                <w:rFonts w:ascii="Arial" w:hAnsi="Arial" w:cs="Arial"/>
              </w:rPr>
              <w:t xml:space="preserve"> sexual contacts in the public interest.</w:t>
            </w:r>
          </w:p>
          <w:p w14:paraId="186DBF32" w14:textId="77777777" w:rsidR="009A2C28" w:rsidRPr="00EB4023" w:rsidRDefault="009A2C28" w:rsidP="00E13F82">
            <w:pPr>
              <w:pStyle w:val="NoSpacing"/>
              <w:snapToGrid w:val="0"/>
              <w:rPr>
                <w:rFonts w:ascii="Arial" w:hAnsi="Arial" w:cs="Arial"/>
              </w:rPr>
            </w:pPr>
          </w:p>
          <w:p w14:paraId="454C9CA8" w14:textId="77777777" w:rsidR="009A2C28" w:rsidRDefault="009A2C28" w:rsidP="00E13F82">
            <w:pPr>
              <w:snapToGrid w:val="0"/>
              <w:rPr>
                <w:rFonts w:ascii="Arial" w:hAnsi="Arial" w:cs="Arial"/>
                <w:sz w:val="22"/>
                <w:szCs w:val="22"/>
              </w:rPr>
            </w:pPr>
            <w:r w:rsidRPr="00E13F82">
              <w:rPr>
                <w:rFonts w:ascii="Arial" w:hAnsi="Arial" w:cs="Arial"/>
                <w:sz w:val="22"/>
                <w:szCs w:val="22"/>
              </w:rPr>
              <w:t>The GMC view is that the Regulations and Directions do not preclude disclosure if it would otherwise be lawful at common law, for example with the patient’s consent or in the public interest without consent.</w:t>
            </w:r>
          </w:p>
          <w:p w14:paraId="2722BB6A" w14:textId="77777777" w:rsidR="009A2C28" w:rsidRPr="00EB4023" w:rsidRDefault="009A2C28" w:rsidP="00E13F82">
            <w:pPr>
              <w:snapToGrid w:val="0"/>
              <w:rPr>
                <w:rFonts w:ascii="Arial" w:hAnsi="Arial" w:cs="Arial"/>
                <w:sz w:val="22"/>
                <w:szCs w:val="22"/>
              </w:rPr>
            </w:pPr>
          </w:p>
        </w:tc>
      </w:tr>
      <w:tr w:rsidR="009A2C28" w:rsidRPr="002C2CC0" w14:paraId="20E3AD4A" w14:textId="77777777" w:rsidTr="00AB58D2">
        <w:tc>
          <w:tcPr>
            <w:tcW w:w="2830" w:type="dxa"/>
          </w:tcPr>
          <w:p w14:paraId="18DDC881" w14:textId="77777777" w:rsidR="009A2C28" w:rsidRPr="002C2CC0" w:rsidRDefault="009A2C28" w:rsidP="00E13F82">
            <w:pPr>
              <w:snapToGrid w:val="0"/>
              <w:rPr>
                <w:rFonts w:ascii="Arial" w:hAnsi="Arial" w:cs="Arial"/>
                <w:sz w:val="22"/>
                <w:szCs w:val="22"/>
              </w:rPr>
            </w:pPr>
            <w:r w:rsidRPr="002C2CC0">
              <w:rPr>
                <w:rFonts w:ascii="Arial" w:hAnsi="Arial" w:cs="Arial"/>
                <w:sz w:val="22"/>
                <w:szCs w:val="22"/>
              </w:rPr>
              <w:lastRenderedPageBreak/>
              <w:t>Disclosures about patients who lack capacity to consent</w:t>
            </w:r>
          </w:p>
        </w:tc>
        <w:tc>
          <w:tcPr>
            <w:tcW w:w="11199" w:type="dxa"/>
          </w:tcPr>
          <w:p w14:paraId="0F61A926" w14:textId="77777777" w:rsidR="009A2C28" w:rsidRPr="002C2CC0" w:rsidRDefault="009A2C28" w:rsidP="00E13F82">
            <w:pPr>
              <w:snapToGrid w:val="0"/>
              <w:rPr>
                <w:rFonts w:ascii="Arial" w:hAnsi="Arial" w:cs="Arial"/>
                <w:sz w:val="22"/>
                <w:szCs w:val="22"/>
              </w:rPr>
            </w:pPr>
            <w:r w:rsidRPr="002C2CC0">
              <w:rPr>
                <w:rFonts w:ascii="Arial" w:hAnsi="Arial" w:cs="Arial"/>
                <w:sz w:val="22"/>
                <w:szCs w:val="22"/>
              </w:rPr>
              <w:t>When making decisions about whether to disclose information about a patient who lacks capacity, this organisation must:</w:t>
            </w:r>
          </w:p>
          <w:p w14:paraId="30A2D7B2" w14:textId="77777777" w:rsidR="009A2C28" w:rsidRPr="002C2CC0" w:rsidRDefault="009A2C28" w:rsidP="00E13F82">
            <w:pPr>
              <w:snapToGrid w:val="0"/>
              <w:rPr>
                <w:rFonts w:ascii="Arial" w:hAnsi="Arial" w:cs="Arial"/>
                <w:sz w:val="22"/>
                <w:szCs w:val="22"/>
              </w:rPr>
            </w:pPr>
          </w:p>
          <w:p w14:paraId="723986AD" w14:textId="77777777" w:rsidR="009A2C28" w:rsidRPr="002C2CC0" w:rsidRDefault="009A2C28" w:rsidP="0058781F">
            <w:pPr>
              <w:pStyle w:val="ListParagraph"/>
              <w:numPr>
                <w:ilvl w:val="0"/>
                <w:numId w:val="21"/>
              </w:numPr>
              <w:snapToGrid w:val="0"/>
              <w:contextualSpacing w:val="0"/>
              <w:rPr>
                <w:rFonts w:ascii="Arial" w:hAnsi="Arial" w:cs="Arial"/>
                <w:sz w:val="22"/>
                <w:szCs w:val="22"/>
              </w:rPr>
            </w:pPr>
            <w:r w:rsidRPr="00E13F82">
              <w:rPr>
                <w:rFonts w:ascii="Arial" w:hAnsi="Arial" w:cs="Arial"/>
                <w:sz w:val="22"/>
                <w:szCs w:val="22"/>
              </w:rPr>
              <w:t>Make the care of the patient the primary concern</w:t>
            </w:r>
          </w:p>
          <w:p w14:paraId="23F091D6" w14:textId="77777777" w:rsidR="009A2C28" w:rsidRPr="002C2CC0" w:rsidRDefault="009A2C28" w:rsidP="00E13F82">
            <w:pPr>
              <w:pStyle w:val="ListParagraph"/>
              <w:snapToGrid w:val="0"/>
              <w:contextualSpacing w:val="0"/>
              <w:rPr>
                <w:rFonts w:ascii="Arial" w:hAnsi="Arial" w:cs="Arial"/>
                <w:sz w:val="22"/>
                <w:szCs w:val="22"/>
              </w:rPr>
            </w:pPr>
          </w:p>
          <w:p w14:paraId="5F17834D" w14:textId="77777777" w:rsidR="009A2C28" w:rsidRPr="002C2CC0" w:rsidRDefault="009A2C28" w:rsidP="0058781F">
            <w:pPr>
              <w:pStyle w:val="ListParagraph"/>
              <w:numPr>
                <w:ilvl w:val="0"/>
                <w:numId w:val="21"/>
              </w:numPr>
              <w:snapToGrid w:val="0"/>
              <w:contextualSpacing w:val="0"/>
              <w:rPr>
                <w:rFonts w:ascii="Arial" w:hAnsi="Arial" w:cs="Arial"/>
                <w:sz w:val="22"/>
                <w:szCs w:val="22"/>
              </w:rPr>
            </w:pPr>
            <w:r w:rsidRPr="00E13F82">
              <w:rPr>
                <w:rFonts w:ascii="Arial" w:hAnsi="Arial" w:cs="Arial"/>
                <w:sz w:val="22"/>
                <w:szCs w:val="22"/>
              </w:rPr>
              <w:t>Respect the patient’s dignity and privacy, and</w:t>
            </w:r>
          </w:p>
          <w:p w14:paraId="24150288" w14:textId="77777777" w:rsidR="009A2C28" w:rsidRPr="00E13F82" w:rsidRDefault="009A2C28" w:rsidP="00E13F82">
            <w:pPr>
              <w:snapToGrid w:val="0"/>
              <w:rPr>
                <w:rFonts w:ascii="Arial" w:hAnsi="Arial" w:cs="Arial"/>
                <w:sz w:val="22"/>
                <w:szCs w:val="22"/>
              </w:rPr>
            </w:pPr>
          </w:p>
          <w:p w14:paraId="550EE1EA" w14:textId="77777777" w:rsidR="009A2C28" w:rsidRPr="00E13F82" w:rsidRDefault="009A2C28" w:rsidP="0058781F">
            <w:pPr>
              <w:pStyle w:val="ListParagraph"/>
              <w:numPr>
                <w:ilvl w:val="0"/>
                <w:numId w:val="21"/>
              </w:numPr>
              <w:snapToGrid w:val="0"/>
              <w:contextualSpacing w:val="0"/>
              <w:rPr>
                <w:rFonts w:ascii="Arial" w:hAnsi="Arial" w:cs="Arial"/>
                <w:sz w:val="22"/>
                <w:szCs w:val="22"/>
              </w:rPr>
            </w:pPr>
            <w:r w:rsidRPr="00E13F82">
              <w:rPr>
                <w:rFonts w:ascii="Arial" w:hAnsi="Arial" w:cs="Arial"/>
                <w:sz w:val="22"/>
                <w:szCs w:val="22"/>
              </w:rPr>
              <w:t>Support and encourage the patient to be involved, as far as they want and are able, in decisions about disclosure of their personal information</w:t>
            </w:r>
          </w:p>
          <w:p w14:paraId="36FDA4ED" w14:textId="77777777" w:rsidR="009A2C28" w:rsidRPr="002C2CC0" w:rsidRDefault="009A2C28" w:rsidP="00E13F82">
            <w:pPr>
              <w:snapToGrid w:val="0"/>
              <w:rPr>
                <w:rFonts w:ascii="Arial" w:hAnsi="Arial" w:cs="Arial"/>
                <w:sz w:val="22"/>
                <w:szCs w:val="22"/>
              </w:rPr>
            </w:pPr>
          </w:p>
          <w:p w14:paraId="3BACE68C" w14:textId="77777777" w:rsidR="009A2C28" w:rsidRDefault="009A2C28" w:rsidP="00E13F82">
            <w:pPr>
              <w:snapToGrid w:val="0"/>
              <w:rPr>
                <w:rFonts w:ascii="Arial" w:hAnsi="Arial" w:cs="Arial"/>
                <w:sz w:val="22"/>
                <w:szCs w:val="22"/>
              </w:rPr>
            </w:pPr>
            <w:r w:rsidRPr="002C2CC0">
              <w:rPr>
                <w:rFonts w:ascii="Arial" w:hAnsi="Arial" w:cs="Arial"/>
                <w:sz w:val="22"/>
                <w:szCs w:val="22"/>
              </w:rPr>
              <w:t>This organisation must also consider:</w:t>
            </w:r>
          </w:p>
          <w:p w14:paraId="12029E77" w14:textId="77777777" w:rsidR="007E3C3B" w:rsidRPr="002C2CC0" w:rsidRDefault="007E3C3B" w:rsidP="00E13F82">
            <w:pPr>
              <w:snapToGrid w:val="0"/>
              <w:rPr>
                <w:rFonts w:ascii="Arial" w:hAnsi="Arial" w:cs="Arial"/>
                <w:sz w:val="22"/>
                <w:szCs w:val="22"/>
              </w:rPr>
            </w:pPr>
          </w:p>
          <w:p w14:paraId="73156984" w14:textId="77777777" w:rsidR="009A2C28" w:rsidRPr="002C2CC0" w:rsidRDefault="009A2C28" w:rsidP="0058781F">
            <w:pPr>
              <w:pStyle w:val="ListParagraph"/>
              <w:numPr>
                <w:ilvl w:val="0"/>
                <w:numId w:val="22"/>
              </w:numPr>
              <w:snapToGrid w:val="0"/>
              <w:contextualSpacing w:val="0"/>
              <w:rPr>
                <w:rFonts w:ascii="Arial" w:hAnsi="Arial" w:cs="Arial"/>
                <w:sz w:val="22"/>
                <w:szCs w:val="22"/>
              </w:rPr>
            </w:pPr>
            <w:r w:rsidRPr="00E13F82">
              <w:rPr>
                <w:rFonts w:ascii="Arial" w:hAnsi="Arial" w:cs="Arial"/>
                <w:sz w:val="22"/>
                <w:szCs w:val="22"/>
              </w:rPr>
              <w:t>Whether the patient's lack of capacity is permanent or temporary and, if temporary, whether the decision to disclose could reasonably wait until they regain capacity</w:t>
            </w:r>
          </w:p>
          <w:p w14:paraId="177DD2EF" w14:textId="77777777" w:rsidR="009A2C28" w:rsidRPr="002C2CC0" w:rsidRDefault="009A2C28" w:rsidP="00E13F82">
            <w:pPr>
              <w:pStyle w:val="ListParagraph"/>
              <w:snapToGrid w:val="0"/>
              <w:contextualSpacing w:val="0"/>
              <w:rPr>
                <w:rFonts w:ascii="Arial" w:hAnsi="Arial" w:cs="Arial"/>
                <w:sz w:val="22"/>
                <w:szCs w:val="22"/>
              </w:rPr>
            </w:pPr>
          </w:p>
          <w:p w14:paraId="5111D68B" w14:textId="77777777" w:rsidR="009A2C28" w:rsidRPr="002C2CC0" w:rsidRDefault="009A2C28" w:rsidP="0058781F">
            <w:pPr>
              <w:pStyle w:val="ListParagraph"/>
              <w:numPr>
                <w:ilvl w:val="0"/>
                <w:numId w:val="22"/>
              </w:numPr>
              <w:snapToGrid w:val="0"/>
              <w:contextualSpacing w:val="0"/>
              <w:rPr>
                <w:rFonts w:ascii="Arial" w:hAnsi="Arial" w:cs="Arial"/>
                <w:sz w:val="22"/>
                <w:szCs w:val="22"/>
              </w:rPr>
            </w:pPr>
            <w:r w:rsidRPr="00E13F82">
              <w:rPr>
                <w:rFonts w:ascii="Arial" w:hAnsi="Arial" w:cs="Arial"/>
                <w:sz w:val="22"/>
                <w:szCs w:val="22"/>
              </w:rPr>
              <w:t>Any evidence of the patient's previously expressed preferences</w:t>
            </w:r>
          </w:p>
          <w:p w14:paraId="3460636B" w14:textId="77777777" w:rsidR="009A2C28" w:rsidRPr="00E13F82" w:rsidRDefault="009A2C28" w:rsidP="00E13F82">
            <w:pPr>
              <w:pStyle w:val="ListParagraph"/>
              <w:snapToGrid w:val="0"/>
              <w:contextualSpacing w:val="0"/>
              <w:rPr>
                <w:rFonts w:ascii="Arial" w:hAnsi="Arial" w:cs="Arial"/>
                <w:sz w:val="22"/>
                <w:szCs w:val="22"/>
              </w:rPr>
            </w:pPr>
          </w:p>
          <w:p w14:paraId="70D2E04D" w14:textId="77777777" w:rsidR="009A2C28" w:rsidRPr="002C2CC0" w:rsidRDefault="009A2C28" w:rsidP="0058781F">
            <w:pPr>
              <w:pStyle w:val="ListParagraph"/>
              <w:numPr>
                <w:ilvl w:val="0"/>
                <w:numId w:val="22"/>
              </w:numPr>
              <w:snapToGrid w:val="0"/>
              <w:contextualSpacing w:val="0"/>
              <w:rPr>
                <w:rFonts w:ascii="Arial" w:hAnsi="Arial" w:cs="Arial"/>
                <w:sz w:val="22"/>
                <w:szCs w:val="22"/>
              </w:rPr>
            </w:pPr>
            <w:r w:rsidRPr="00E13F82">
              <w:rPr>
                <w:rFonts w:ascii="Arial" w:hAnsi="Arial" w:cs="Arial"/>
                <w:sz w:val="22"/>
                <w:szCs w:val="22"/>
              </w:rPr>
              <w:t>The views of anyone the patient asks the organisation to consult, or who has legal authority to decide on their behalf or has been appointed to represent them</w:t>
            </w:r>
          </w:p>
          <w:p w14:paraId="64F3E168" w14:textId="77777777" w:rsidR="009A2C28" w:rsidRPr="00E13F82" w:rsidRDefault="009A2C28" w:rsidP="00E13F82">
            <w:pPr>
              <w:pStyle w:val="ListParagraph"/>
              <w:snapToGrid w:val="0"/>
              <w:contextualSpacing w:val="0"/>
              <w:rPr>
                <w:rFonts w:ascii="Arial" w:hAnsi="Arial" w:cs="Arial"/>
                <w:sz w:val="22"/>
                <w:szCs w:val="22"/>
              </w:rPr>
            </w:pPr>
          </w:p>
          <w:p w14:paraId="7B1B414C" w14:textId="77777777" w:rsidR="009A2C28" w:rsidRPr="002C2CC0" w:rsidRDefault="009A2C28" w:rsidP="0058781F">
            <w:pPr>
              <w:pStyle w:val="ListParagraph"/>
              <w:numPr>
                <w:ilvl w:val="0"/>
                <w:numId w:val="22"/>
              </w:numPr>
              <w:snapToGrid w:val="0"/>
              <w:contextualSpacing w:val="0"/>
              <w:rPr>
                <w:rFonts w:ascii="Arial" w:hAnsi="Arial" w:cs="Arial"/>
                <w:sz w:val="22"/>
                <w:szCs w:val="22"/>
              </w:rPr>
            </w:pPr>
            <w:r w:rsidRPr="00E13F82">
              <w:rPr>
                <w:rFonts w:ascii="Arial" w:hAnsi="Arial" w:cs="Arial"/>
                <w:sz w:val="22"/>
                <w:szCs w:val="22"/>
              </w:rPr>
              <w:t>The views of people close to the patient on the patient’s preferences, feelings, beliefs and values and whether they consider the proposed disclosure to be in the patient's best interests, and</w:t>
            </w:r>
          </w:p>
          <w:p w14:paraId="5FA4FDBD" w14:textId="77777777" w:rsidR="009A2C28" w:rsidRPr="00E13F82" w:rsidRDefault="009A2C28" w:rsidP="00E13F82">
            <w:pPr>
              <w:pStyle w:val="ListParagraph"/>
              <w:snapToGrid w:val="0"/>
              <w:contextualSpacing w:val="0"/>
              <w:rPr>
                <w:rFonts w:ascii="Arial" w:hAnsi="Arial" w:cs="Arial"/>
                <w:sz w:val="22"/>
                <w:szCs w:val="22"/>
              </w:rPr>
            </w:pPr>
          </w:p>
          <w:p w14:paraId="57A722AF" w14:textId="77777777" w:rsidR="009A2C28" w:rsidRPr="00E13F82" w:rsidRDefault="009A2C28" w:rsidP="0058781F">
            <w:pPr>
              <w:pStyle w:val="ListParagraph"/>
              <w:numPr>
                <w:ilvl w:val="0"/>
                <w:numId w:val="22"/>
              </w:numPr>
              <w:snapToGrid w:val="0"/>
              <w:contextualSpacing w:val="0"/>
              <w:rPr>
                <w:rFonts w:ascii="Arial" w:hAnsi="Arial" w:cs="Arial"/>
                <w:sz w:val="22"/>
                <w:szCs w:val="22"/>
              </w:rPr>
            </w:pPr>
            <w:r w:rsidRPr="00E13F82">
              <w:rPr>
                <w:rFonts w:ascii="Arial" w:hAnsi="Arial" w:cs="Arial"/>
                <w:sz w:val="22"/>
                <w:szCs w:val="22"/>
              </w:rPr>
              <w:t>What this organisation knows about the patient's wishes, feelings, beliefs and values.</w:t>
            </w:r>
          </w:p>
          <w:p w14:paraId="41EA8A69" w14:textId="77777777" w:rsidR="009A2C28" w:rsidRPr="002C2CC0" w:rsidRDefault="009A2C28" w:rsidP="00E13F82">
            <w:pPr>
              <w:snapToGrid w:val="0"/>
              <w:rPr>
                <w:rFonts w:ascii="Arial" w:hAnsi="Arial" w:cs="Arial"/>
                <w:sz w:val="22"/>
                <w:szCs w:val="22"/>
              </w:rPr>
            </w:pPr>
          </w:p>
          <w:p w14:paraId="5DCCBB21" w14:textId="77777777" w:rsidR="009A2C28" w:rsidRPr="002C2CC0" w:rsidRDefault="009A2C28" w:rsidP="00E13F82">
            <w:pPr>
              <w:snapToGrid w:val="0"/>
              <w:rPr>
                <w:rFonts w:ascii="Arial" w:hAnsi="Arial" w:cs="Arial"/>
                <w:sz w:val="22"/>
                <w:szCs w:val="22"/>
              </w:rPr>
            </w:pPr>
            <w:r w:rsidRPr="002C2CC0">
              <w:rPr>
                <w:rFonts w:ascii="Arial" w:hAnsi="Arial" w:cs="Arial"/>
                <w:sz w:val="22"/>
                <w:szCs w:val="22"/>
              </w:rPr>
              <w:t xml:space="preserve">If a patient who lacks capacity asks this organisation not to disclose personal information about their condition or treatment, they should be requested to allow an appropriate person to be involved in the consultation. Should they refuse, and the organisation is convinced that it is essential in their best interests, the relevant information should be disclosed to an appropriate person or authority. </w:t>
            </w:r>
          </w:p>
          <w:p w14:paraId="1233CACA" w14:textId="77777777" w:rsidR="009A2C28" w:rsidRPr="002C2CC0" w:rsidRDefault="009A2C28" w:rsidP="00E13F82">
            <w:pPr>
              <w:snapToGrid w:val="0"/>
              <w:rPr>
                <w:rFonts w:ascii="Arial" w:hAnsi="Arial" w:cs="Arial"/>
                <w:sz w:val="22"/>
                <w:szCs w:val="22"/>
              </w:rPr>
            </w:pPr>
          </w:p>
          <w:p w14:paraId="67F76D24" w14:textId="77777777" w:rsidR="009A2C28" w:rsidRPr="002C2CC0" w:rsidRDefault="009A2C28" w:rsidP="00E13F82">
            <w:pPr>
              <w:snapToGrid w:val="0"/>
              <w:rPr>
                <w:rFonts w:ascii="Arial" w:hAnsi="Arial" w:cs="Arial"/>
                <w:sz w:val="22"/>
                <w:szCs w:val="22"/>
              </w:rPr>
            </w:pPr>
            <w:r w:rsidRPr="002C2CC0">
              <w:rPr>
                <w:rFonts w:ascii="Arial" w:hAnsi="Arial" w:cs="Arial"/>
                <w:sz w:val="22"/>
                <w:szCs w:val="22"/>
              </w:rPr>
              <w:t>In such an instance this organisation should tell the patient before disclosing the information and, if appropriate, seek and carefully consider the views of an advocate or carer, documenting in the patient’s record the discussions and the reasons for deciding to disclose the information.</w:t>
            </w:r>
          </w:p>
          <w:p w14:paraId="1A22DC0A" w14:textId="77777777" w:rsidR="009A2C28" w:rsidRPr="002C2CC0" w:rsidRDefault="009A2C28" w:rsidP="00E13F82">
            <w:pPr>
              <w:snapToGrid w:val="0"/>
              <w:rPr>
                <w:rFonts w:ascii="Arial" w:hAnsi="Arial" w:cs="Arial"/>
                <w:sz w:val="22"/>
                <w:szCs w:val="22"/>
              </w:rPr>
            </w:pPr>
          </w:p>
          <w:p w14:paraId="46603CEE" w14:textId="77777777" w:rsidR="009A2C28" w:rsidRPr="002C2CC0" w:rsidRDefault="009A2C28" w:rsidP="00E13F82">
            <w:pPr>
              <w:snapToGrid w:val="0"/>
              <w:rPr>
                <w:rFonts w:ascii="Arial" w:hAnsi="Arial" w:cs="Arial"/>
                <w:sz w:val="22"/>
                <w:szCs w:val="22"/>
              </w:rPr>
            </w:pPr>
            <w:r w:rsidRPr="002C2CC0">
              <w:rPr>
                <w:rFonts w:ascii="Arial" w:hAnsi="Arial" w:cs="Arial"/>
                <w:sz w:val="22"/>
                <w:szCs w:val="22"/>
              </w:rPr>
              <w:lastRenderedPageBreak/>
              <w:t xml:space="preserve">Although personal information may need to be shared with a patient’s relatives, friends or carers to enable this organisation to assess the patient’s best interests, this does not mean they have a general right of access to the patient’s records or to have irrelevant information (e.g., about the patient’s past healthcare). </w:t>
            </w:r>
            <w:bookmarkStart w:id="147" w:name="_Hlk96085019"/>
            <w:r w:rsidRPr="002C2CC0">
              <w:rPr>
                <w:rFonts w:ascii="Arial" w:hAnsi="Arial" w:cs="Arial"/>
                <w:sz w:val="22"/>
                <w:szCs w:val="22"/>
              </w:rPr>
              <w:t xml:space="preserve">The organisation </w:t>
            </w:r>
            <w:bookmarkEnd w:id="147"/>
            <w:r w:rsidRPr="002C2CC0">
              <w:rPr>
                <w:rFonts w:ascii="Arial" w:hAnsi="Arial" w:cs="Arial"/>
                <w:sz w:val="22"/>
                <w:szCs w:val="22"/>
              </w:rPr>
              <w:t>should also share relevant personal information with anyone who is authorised to make decisions on behalf of, or who is appointed to support and represent, a mentally incapacitated patient.</w:t>
            </w:r>
          </w:p>
          <w:p w14:paraId="750E535E" w14:textId="77777777" w:rsidR="009A2C28" w:rsidRPr="002C2CC0" w:rsidRDefault="009A2C28" w:rsidP="00E13F82">
            <w:pPr>
              <w:snapToGrid w:val="0"/>
              <w:rPr>
                <w:rFonts w:ascii="Arial" w:hAnsi="Arial" w:cs="Arial"/>
                <w:sz w:val="22"/>
                <w:szCs w:val="22"/>
              </w:rPr>
            </w:pPr>
          </w:p>
          <w:p w14:paraId="41A14658" w14:textId="77777777" w:rsidR="009A2C28" w:rsidRPr="002C2CC0" w:rsidRDefault="009A2C28" w:rsidP="00E13F82">
            <w:pPr>
              <w:snapToGrid w:val="0"/>
              <w:rPr>
                <w:rFonts w:ascii="Arial" w:hAnsi="Arial" w:cs="Arial"/>
                <w:sz w:val="22"/>
                <w:szCs w:val="22"/>
              </w:rPr>
            </w:pPr>
            <w:r w:rsidRPr="002C2CC0">
              <w:rPr>
                <w:rFonts w:ascii="Arial" w:hAnsi="Arial" w:cs="Arial"/>
                <w:sz w:val="22"/>
                <w:szCs w:val="22"/>
              </w:rPr>
              <w:t xml:space="preserve">This guidance should be read in conjunction with the organisation’s </w:t>
            </w:r>
            <w:r w:rsidRPr="00E13F82">
              <w:rPr>
                <w:rFonts w:ascii="Arial" w:hAnsi="Arial" w:cs="Arial"/>
                <w:sz w:val="22"/>
                <w:szCs w:val="22"/>
              </w:rPr>
              <w:t>Consent Guidance</w:t>
            </w:r>
            <w:r w:rsidRPr="002C2CC0">
              <w:rPr>
                <w:rFonts w:ascii="Arial" w:hAnsi="Arial" w:cs="Arial"/>
                <w:sz w:val="22"/>
                <w:szCs w:val="22"/>
              </w:rPr>
              <w:t xml:space="preserve"> and Safeguarding Handbook.</w:t>
            </w:r>
          </w:p>
          <w:p w14:paraId="631467EC" w14:textId="77777777" w:rsidR="009A2C28" w:rsidRPr="002C2CC0" w:rsidRDefault="009A2C28" w:rsidP="00E13F82">
            <w:pPr>
              <w:snapToGrid w:val="0"/>
              <w:rPr>
                <w:rFonts w:ascii="Arial" w:hAnsi="Arial" w:cs="Arial"/>
                <w:sz w:val="22"/>
                <w:szCs w:val="22"/>
              </w:rPr>
            </w:pPr>
          </w:p>
        </w:tc>
      </w:tr>
      <w:tr w:rsidR="009A2C28" w:rsidRPr="002C2CC0" w14:paraId="23003F56" w14:textId="77777777" w:rsidTr="00AB58D2">
        <w:tc>
          <w:tcPr>
            <w:tcW w:w="2830" w:type="dxa"/>
          </w:tcPr>
          <w:p w14:paraId="597BC094" w14:textId="77777777" w:rsidR="009A2C28" w:rsidRPr="002C2CC0" w:rsidRDefault="009A2C28" w:rsidP="00E13F82">
            <w:pPr>
              <w:snapToGrid w:val="0"/>
              <w:rPr>
                <w:rFonts w:ascii="Arial" w:hAnsi="Arial" w:cs="Arial"/>
                <w:sz w:val="22"/>
                <w:szCs w:val="22"/>
              </w:rPr>
            </w:pPr>
            <w:r w:rsidRPr="002C2CC0">
              <w:rPr>
                <w:rFonts w:ascii="Arial" w:hAnsi="Arial" w:cs="Arial"/>
                <w:sz w:val="22"/>
                <w:szCs w:val="22"/>
              </w:rPr>
              <w:lastRenderedPageBreak/>
              <w:t>Disclosures when a patient may be a victim of neglect or abuse</w:t>
            </w:r>
          </w:p>
        </w:tc>
        <w:tc>
          <w:tcPr>
            <w:tcW w:w="11199" w:type="dxa"/>
          </w:tcPr>
          <w:p w14:paraId="7B97DFA7" w14:textId="77777777" w:rsidR="009A2C28" w:rsidRPr="002C2CC0" w:rsidRDefault="009A2C28" w:rsidP="00E13F82">
            <w:pPr>
              <w:snapToGrid w:val="0"/>
              <w:rPr>
                <w:rFonts w:ascii="Arial" w:hAnsi="Arial" w:cs="Arial"/>
                <w:sz w:val="22"/>
                <w:szCs w:val="22"/>
              </w:rPr>
            </w:pPr>
            <w:r w:rsidRPr="002C2CC0">
              <w:rPr>
                <w:rFonts w:ascii="Arial" w:hAnsi="Arial" w:cs="Arial"/>
                <w:sz w:val="22"/>
                <w:szCs w:val="22"/>
              </w:rPr>
              <w:t xml:space="preserve">Should this organisation believe that a patient may be a victim of neglect or physical, sexual or emotional abuse and that they lack capacity to consent to disclosure; then they must give information promptly to an appropriate responsible person or authority, if they believe that the disclosure is in the patient’s best interests or necessary to protect others from a risk of serious harm. </w:t>
            </w:r>
          </w:p>
          <w:p w14:paraId="0C6C0D78" w14:textId="77777777" w:rsidR="009A2C28" w:rsidRPr="002C2CC0" w:rsidRDefault="009A2C28" w:rsidP="00E13F82">
            <w:pPr>
              <w:snapToGrid w:val="0"/>
              <w:rPr>
                <w:rFonts w:ascii="Arial" w:hAnsi="Arial" w:cs="Arial"/>
                <w:sz w:val="22"/>
                <w:szCs w:val="22"/>
              </w:rPr>
            </w:pPr>
          </w:p>
          <w:p w14:paraId="284D7B8D" w14:textId="77777777" w:rsidR="009A2C28" w:rsidRPr="002C2CC0" w:rsidRDefault="009A2C28" w:rsidP="00E13F82">
            <w:pPr>
              <w:snapToGrid w:val="0"/>
              <w:rPr>
                <w:rFonts w:ascii="Arial" w:hAnsi="Arial" w:cs="Arial"/>
                <w:sz w:val="22"/>
                <w:szCs w:val="22"/>
              </w:rPr>
            </w:pPr>
            <w:r w:rsidRPr="002C2CC0">
              <w:rPr>
                <w:rFonts w:ascii="Arial" w:hAnsi="Arial" w:cs="Arial"/>
                <w:sz w:val="22"/>
                <w:szCs w:val="22"/>
              </w:rPr>
              <w:t xml:space="preserve">Should the organisation believe that the disclosure of information is not in the best interests of a neglected or abused patient, they should discuss the issues with an experienced colleague. </w:t>
            </w:r>
          </w:p>
          <w:p w14:paraId="3F89AA96" w14:textId="77777777" w:rsidR="009A2C28" w:rsidRPr="002C2CC0" w:rsidRDefault="009A2C28" w:rsidP="00E13F82">
            <w:pPr>
              <w:snapToGrid w:val="0"/>
              <w:rPr>
                <w:rFonts w:ascii="Arial" w:hAnsi="Arial" w:cs="Arial"/>
                <w:sz w:val="22"/>
                <w:szCs w:val="22"/>
              </w:rPr>
            </w:pPr>
          </w:p>
          <w:p w14:paraId="1F621895" w14:textId="77777777" w:rsidR="009A2C28" w:rsidRPr="002C2CC0" w:rsidRDefault="009A2C28" w:rsidP="00E13F82">
            <w:pPr>
              <w:snapToGrid w:val="0"/>
              <w:rPr>
                <w:rFonts w:ascii="Arial" w:hAnsi="Arial" w:cs="Arial"/>
                <w:sz w:val="22"/>
                <w:szCs w:val="22"/>
              </w:rPr>
            </w:pPr>
            <w:r w:rsidRPr="002C2CC0">
              <w:rPr>
                <w:rFonts w:ascii="Arial" w:hAnsi="Arial" w:cs="Arial"/>
                <w:sz w:val="22"/>
                <w:szCs w:val="22"/>
              </w:rPr>
              <w:t>If it is decided not to disclose information, the patient’s record should have an entry that details the discussions and the reasons for deciding not to disclose and be prepared to justify the decision.</w:t>
            </w:r>
          </w:p>
          <w:p w14:paraId="1155C8AD" w14:textId="77777777" w:rsidR="009A2C28" w:rsidRPr="002C2CC0" w:rsidRDefault="009A2C28" w:rsidP="00E13F82">
            <w:pPr>
              <w:snapToGrid w:val="0"/>
              <w:rPr>
                <w:rFonts w:ascii="Arial" w:hAnsi="Arial" w:cs="Arial"/>
                <w:sz w:val="22"/>
                <w:szCs w:val="22"/>
              </w:rPr>
            </w:pPr>
          </w:p>
        </w:tc>
      </w:tr>
      <w:tr w:rsidR="009A2C28" w:rsidRPr="009A2C28" w14:paraId="6A5DFA29" w14:textId="77777777" w:rsidTr="009A2C28">
        <w:tc>
          <w:tcPr>
            <w:tcW w:w="14029" w:type="dxa"/>
            <w:gridSpan w:val="2"/>
          </w:tcPr>
          <w:p w14:paraId="5B8A7958" w14:textId="77777777" w:rsidR="009A2C28" w:rsidRPr="00AB58D2" w:rsidRDefault="009A2C28" w:rsidP="00AB58D2">
            <w:pPr>
              <w:pStyle w:val="NoSpacing"/>
              <w:snapToGrid w:val="0"/>
              <w:spacing w:before="120" w:after="120"/>
              <w:ind w:left="28"/>
              <w:rPr>
                <w:rFonts w:ascii="Arial" w:hAnsi="Arial" w:cs="Arial"/>
                <w:b/>
                <w:bCs/>
              </w:rPr>
            </w:pPr>
            <w:r w:rsidRPr="002C2CC0">
              <w:rPr>
                <w:rFonts w:ascii="Arial" w:hAnsi="Arial" w:cs="Arial"/>
                <w:b/>
                <w:bCs/>
              </w:rPr>
              <w:t>Reporting and sharing information</w:t>
            </w:r>
            <w:r>
              <w:rPr>
                <w:rFonts w:ascii="Arial" w:hAnsi="Arial" w:cs="Arial"/>
                <w:b/>
                <w:bCs/>
              </w:rPr>
              <w:t xml:space="preserve"> to a third party</w:t>
            </w:r>
          </w:p>
        </w:tc>
      </w:tr>
      <w:tr w:rsidR="009A2C28" w:rsidRPr="002C2CC0" w14:paraId="45368112" w14:textId="77777777" w:rsidTr="00AB58D2">
        <w:tc>
          <w:tcPr>
            <w:tcW w:w="2830" w:type="dxa"/>
          </w:tcPr>
          <w:p w14:paraId="3252E4E4" w14:textId="77777777" w:rsidR="009A2C28" w:rsidRPr="002C2CC0" w:rsidRDefault="009A2C28" w:rsidP="00E13F82">
            <w:pPr>
              <w:snapToGrid w:val="0"/>
              <w:rPr>
                <w:rFonts w:ascii="Arial" w:hAnsi="Arial" w:cs="Arial"/>
                <w:sz w:val="22"/>
                <w:szCs w:val="22"/>
              </w:rPr>
            </w:pPr>
            <w:r w:rsidRPr="002C2CC0">
              <w:rPr>
                <w:rFonts w:ascii="Arial" w:hAnsi="Arial" w:cs="Arial"/>
                <w:sz w:val="22"/>
                <w:szCs w:val="22"/>
              </w:rPr>
              <w:t>Notifying CQC</w:t>
            </w:r>
          </w:p>
        </w:tc>
        <w:tc>
          <w:tcPr>
            <w:tcW w:w="11199" w:type="dxa"/>
          </w:tcPr>
          <w:p w14:paraId="414898D3" w14:textId="77777777" w:rsidR="009A2C28" w:rsidRDefault="009A2C28" w:rsidP="00E13F82">
            <w:pPr>
              <w:snapToGrid w:val="0"/>
              <w:rPr>
                <w:rFonts w:ascii="Arial" w:hAnsi="Arial" w:cs="Arial"/>
                <w:sz w:val="22"/>
                <w:szCs w:val="22"/>
              </w:rPr>
            </w:pPr>
            <w:r w:rsidRPr="002C2CC0">
              <w:rPr>
                <w:rFonts w:ascii="Arial" w:hAnsi="Arial" w:cs="Arial"/>
                <w:sz w:val="22"/>
                <w:szCs w:val="22"/>
              </w:rPr>
              <w:t xml:space="preserve">There may be various instances where the Care Quality Commission are required to be advised of and event or incident in their guidance titled </w:t>
            </w:r>
            <w:hyperlink r:id="rId26" w:history="1">
              <w:r w:rsidRPr="00E13F82">
                <w:rPr>
                  <w:rStyle w:val="Hyperlink"/>
                  <w:rFonts w:ascii="Arial" w:hAnsi="Arial" w:cs="Arial"/>
                  <w:sz w:val="22"/>
                  <w:szCs w:val="22"/>
                </w:rPr>
                <w:t>Notifications</w:t>
              </w:r>
            </w:hyperlink>
            <w:r w:rsidR="007E3C3B">
              <w:rPr>
                <w:rFonts w:ascii="Arial" w:hAnsi="Arial" w:cs="Arial"/>
                <w:sz w:val="22"/>
                <w:szCs w:val="22"/>
              </w:rPr>
              <w:t>.</w:t>
            </w:r>
          </w:p>
          <w:p w14:paraId="3123CB2E" w14:textId="34273B70" w:rsidR="007E3C3B" w:rsidRPr="002C2CC0" w:rsidRDefault="007E3C3B" w:rsidP="00E13F82">
            <w:pPr>
              <w:snapToGrid w:val="0"/>
              <w:rPr>
                <w:rFonts w:ascii="Arial" w:hAnsi="Arial" w:cs="Arial"/>
                <w:sz w:val="22"/>
                <w:szCs w:val="22"/>
              </w:rPr>
            </w:pPr>
          </w:p>
        </w:tc>
      </w:tr>
      <w:tr w:rsidR="009A2C28" w:rsidRPr="002C2CC0" w14:paraId="4E6565E8" w14:textId="77777777" w:rsidTr="00AB58D2">
        <w:tc>
          <w:tcPr>
            <w:tcW w:w="2830" w:type="dxa"/>
          </w:tcPr>
          <w:p w14:paraId="570275D1" w14:textId="77777777" w:rsidR="009A2C28" w:rsidRPr="002C2CC0" w:rsidRDefault="009A2C28" w:rsidP="00E13F82">
            <w:pPr>
              <w:snapToGrid w:val="0"/>
              <w:rPr>
                <w:rFonts w:ascii="Arial" w:hAnsi="Arial" w:cs="Arial"/>
                <w:sz w:val="22"/>
                <w:szCs w:val="22"/>
              </w:rPr>
            </w:pPr>
            <w:r w:rsidRPr="002C2CC0">
              <w:rPr>
                <w:rFonts w:ascii="Arial" w:hAnsi="Arial" w:cs="Arial"/>
                <w:sz w:val="22"/>
                <w:szCs w:val="22"/>
              </w:rPr>
              <w:t xml:space="preserve">Sharing information with </w:t>
            </w:r>
            <w:r>
              <w:rPr>
                <w:rFonts w:ascii="Arial" w:hAnsi="Arial" w:cs="Arial"/>
                <w:sz w:val="22"/>
                <w:szCs w:val="22"/>
              </w:rPr>
              <w:t>a patient’s partner, carer, relatives or friends</w:t>
            </w:r>
          </w:p>
        </w:tc>
        <w:tc>
          <w:tcPr>
            <w:tcW w:w="11199" w:type="dxa"/>
          </w:tcPr>
          <w:p w14:paraId="146EAA72" w14:textId="77777777" w:rsidR="009A2C28" w:rsidRPr="00740F13" w:rsidRDefault="009A2C28" w:rsidP="00E13F82">
            <w:pPr>
              <w:pStyle w:val="NoSpacing"/>
              <w:snapToGrid w:val="0"/>
              <w:rPr>
                <w:rFonts w:ascii="Arial" w:hAnsi="Arial" w:cs="Arial"/>
              </w:rPr>
            </w:pPr>
            <w:r w:rsidRPr="00740F13">
              <w:rPr>
                <w:rFonts w:ascii="Arial" w:hAnsi="Arial" w:cs="Arial"/>
              </w:rPr>
              <w:t xml:space="preserve">Early discussions with the patient (especially if the patient has fluctuating or diminished capacity or is likely to lose capacity, even temporarily) should try to establish what information they want </w:t>
            </w:r>
            <w:r>
              <w:rPr>
                <w:rFonts w:ascii="Arial" w:hAnsi="Arial" w:cs="Arial"/>
              </w:rPr>
              <w:t>t</w:t>
            </w:r>
            <w:r w:rsidRPr="0038792E">
              <w:rPr>
                <w:rFonts w:ascii="Arial" w:hAnsi="Arial" w:cs="Arial"/>
              </w:rPr>
              <w:t xml:space="preserve">his organisation </w:t>
            </w:r>
            <w:r w:rsidRPr="00740F13">
              <w:rPr>
                <w:rFonts w:ascii="Arial" w:hAnsi="Arial" w:cs="Arial"/>
              </w:rPr>
              <w:t>to share, who with and in what circumstances. Such discussions can help to avoid disclosures that a patient would object to and misunderstandings with or causing offence to anyone the patient would want information to be shared with.</w:t>
            </w:r>
          </w:p>
          <w:p w14:paraId="748D90E2" w14:textId="77777777" w:rsidR="009A2C28" w:rsidRPr="00740F13" w:rsidRDefault="009A2C28" w:rsidP="00E13F82">
            <w:pPr>
              <w:pStyle w:val="NoSpacing"/>
              <w:snapToGrid w:val="0"/>
              <w:rPr>
                <w:rFonts w:ascii="Arial" w:hAnsi="Arial" w:cs="Arial"/>
              </w:rPr>
            </w:pPr>
          </w:p>
          <w:p w14:paraId="75FC1427" w14:textId="77777777" w:rsidR="009A2C28" w:rsidRPr="00740F13" w:rsidRDefault="009A2C28" w:rsidP="00E13F82">
            <w:pPr>
              <w:pStyle w:val="NoSpacing"/>
              <w:snapToGrid w:val="0"/>
              <w:rPr>
                <w:rFonts w:ascii="Arial" w:hAnsi="Arial" w:cs="Arial"/>
              </w:rPr>
            </w:pPr>
            <w:r w:rsidRPr="00740F13">
              <w:rPr>
                <w:rFonts w:ascii="Arial" w:hAnsi="Arial" w:cs="Arial"/>
              </w:rPr>
              <w:t xml:space="preserve">If a patient lacks capacity, </w:t>
            </w:r>
            <w:r>
              <w:rPr>
                <w:rFonts w:ascii="Arial" w:hAnsi="Arial" w:cs="Arial"/>
              </w:rPr>
              <w:t xml:space="preserve">the organisation </w:t>
            </w:r>
            <w:r w:rsidRPr="00740F13">
              <w:rPr>
                <w:rFonts w:ascii="Arial" w:hAnsi="Arial" w:cs="Arial"/>
              </w:rPr>
              <w:t>should share relevant information in accordance with the advice in the patients who lack capacity section.</w:t>
            </w:r>
          </w:p>
          <w:p w14:paraId="629E054A" w14:textId="77777777" w:rsidR="009A2C28" w:rsidRPr="00740F13" w:rsidRDefault="009A2C28" w:rsidP="00E13F82">
            <w:pPr>
              <w:pStyle w:val="NoSpacing"/>
              <w:snapToGrid w:val="0"/>
              <w:ind w:left="360"/>
              <w:rPr>
                <w:rFonts w:ascii="Arial" w:hAnsi="Arial" w:cs="Arial"/>
              </w:rPr>
            </w:pPr>
          </w:p>
          <w:p w14:paraId="633DE217" w14:textId="77777777" w:rsidR="009A2C28" w:rsidRDefault="009A2C28" w:rsidP="00E13F82">
            <w:pPr>
              <w:pStyle w:val="NoSpacing"/>
              <w:snapToGrid w:val="0"/>
              <w:rPr>
                <w:rFonts w:ascii="Arial" w:hAnsi="Arial" w:cs="Arial"/>
              </w:rPr>
            </w:pPr>
            <w:r w:rsidRPr="00740F13">
              <w:rPr>
                <w:rFonts w:ascii="Arial" w:hAnsi="Arial" w:cs="Arial"/>
              </w:rPr>
              <w:lastRenderedPageBreak/>
              <w:t xml:space="preserve">Unless they indicate otherwise, it is reasonable to assume that a patient would want those closest to them to be kept informed of their general condition and prognosis. </w:t>
            </w:r>
          </w:p>
          <w:p w14:paraId="58177002" w14:textId="77777777" w:rsidR="009A2C28" w:rsidRDefault="009A2C28" w:rsidP="00E13F82">
            <w:pPr>
              <w:pStyle w:val="NoSpacing"/>
              <w:snapToGrid w:val="0"/>
              <w:rPr>
                <w:rFonts w:ascii="Arial" w:hAnsi="Arial" w:cs="Arial"/>
              </w:rPr>
            </w:pPr>
          </w:p>
          <w:p w14:paraId="1630ECE6" w14:textId="77777777" w:rsidR="009A2C28" w:rsidRDefault="009A2C28" w:rsidP="00E13F82">
            <w:pPr>
              <w:pStyle w:val="NoSpacing"/>
              <w:snapToGrid w:val="0"/>
              <w:rPr>
                <w:rFonts w:ascii="Arial" w:hAnsi="Arial" w:cs="Arial"/>
              </w:rPr>
            </w:pPr>
            <w:r w:rsidRPr="00740F13">
              <w:rPr>
                <w:rFonts w:ascii="Arial" w:hAnsi="Arial" w:cs="Arial"/>
              </w:rPr>
              <w:t xml:space="preserve">In the event someone close to the patient wishes to discuss their concerns about the patient’s health, </w:t>
            </w:r>
            <w:r>
              <w:rPr>
                <w:rFonts w:ascii="Arial" w:hAnsi="Arial" w:cs="Arial"/>
              </w:rPr>
              <w:t>t</w:t>
            </w:r>
            <w:r w:rsidRPr="0038792E">
              <w:rPr>
                <w:rFonts w:ascii="Arial" w:hAnsi="Arial" w:cs="Arial"/>
              </w:rPr>
              <w:t xml:space="preserve">his organisation </w:t>
            </w:r>
            <w:r w:rsidRPr="00740F13">
              <w:rPr>
                <w:rFonts w:ascii="Arial" w:hAnsi="Arial" w:cs="Arial"/>
              </w:rPr>
              <w:t>should make it clear to them that, while it is not a breach of patient confidentiality to listen to their concerns, it cannot be guaranteed that the patient will NOT be informed of the conversation (e.g.</w:t>
            </w:r>
            <w:r>
              <w:rPr>
                <w:rFonts w:ascii="Arial" w:hAnsi="Arial" w:cs="Arial"/>
              </w:rPr>
              <w:t>,</w:t>
            </w:r>
            <w:r w:rsidRPr="00740F13">
              <w:rPr>
                <w:rFonts w:ascii="Arial" w:hAnsi="Arial" w:cs="Arial"/>
              </w:rPr>
              <w:t xml:space="preserve"> a clinician might need to share with a patient information received from others if it has influenced the assessment and treatment of the patient).</w:t>
            </w:r>
          </w:p>
          <w:p w14:paraId="6DFCE3CE" w14:textId="77777777" w:rsidR="009A2C28" w:rsidRDefault="009A2C28" w:rsidP="00E13F82">
            <w:pPr>
              <w:pStyle w:val="NoSpacing"/>
              <w:snapToGrid w:val="0"/>
              <w:rPr>
                <w:rFonts w:ascii="Arial" w:hAnsi="Arial" w:cs="Arial"/>
              </w:rPr>
            </w:pPr>
          </w:p>
          <w:p w14:paraId="19BC5524" w14:textId="77777777" w:rsidR="009A2C28" w:rsidRPr="00740F13" w:rsidRDefault="009A2C28" w:rsidP="00E13F82">
            <w:pPr>
              <w:pStyle w:val="NoSpacing"/>
              <w:snapToGrid w:val="0"/>
              <w:rPr>
                <w:rFonts w:ascii="Arial" w:hAnsi="Arial" w:cs="Arial"/>
              </w:rPr>
            </w:pPr>
            <w:r>
              <w:rPr>
                <w:rFonts w:ascii="Arial" w:hAnsi="Arial" w:cs="Arial"/>
              </w:rPr>
              <w:t>Further reading can be found in the organisation’s Mental Capacity Act Policy.</w:t>
            </w:r>
          </w:p>
          <w:p w14:paraId="691B10EE" w14:textId="77777777" w:rsidR="009A2C28" w:rsidRPr="002C2CC0" w:rsidRDefault="009A2C28" w:rsidP="00E13F82">
            <w:pPr>
              <w:snapToGrid w:val="0"/>
              <w:rPr>
                <w:rFonts w:ascii="Arial" w:hAnsi="Arial" w:cs="Arial"/>
                <w:sz w:val="22"/>
                <w:szCs w:val="22"/>
              </w:rPr>
            </w:pPr>
          </w:p>
        </w:tc>
      </w:tr>
      <w:tr w:rsidR="009A2C28" w:rsidRPr="002C2CC0" w14:paraId="6FD04C83" w14:textId="77777777" w:rsidTr="009A2C28">
        <w:tc>
          <w:tcPr>
            <w:tcW w:w="2830" w:type="dxa"/>
          </w:tcPr>
          <w:p w14:paraId="23036141" w14:textId="77777777" w:rsidR="009A2C28" w:rsidRPr="002C2CC0" w:rsidRDefault="009A2C28" w:rsidP="00E13F82">
            <w:pPr>
              <w:snapToGrid w:val="0"/>
              <w:rPr>
                <w:rFonts w:ascii="Arial" w:hAnsi="Arial" w:cs="Arial"/>
                <w:sz w:val="22"/>
                <w:szCs w:val="22"/>
              </w:rPr>
            </w:pPr>
            <w:r>
              <w:rPr>
                <w:rFonts w:ascii="Arial" w:hAnsi="Arial" w:cs="Arial"/>
                <w:sz w:val="22"/>
                <w:szCs w:val="22"/>
              </w:rPr>
              <w:lastRenderedPageBreak/>
              <w:t>DVLA reports</w:t>
            </w:r>
          </w:p>
        </w:tc>
        <w:tc>
          <w:tcPr>
            <w:tcW w:w="11199" w:type="dxa"/>
          </w:tcPr>
          <w:p w14:paraId="53B6CAA3" w14:textId="77777777" w:rsidR="009A2C28" w:rsidRPr="00EB4023" w:rsidRDefault="009A2C28" w:rsidP="00E13F82">
            <w:pPr>
              <w:snapToGrid w:val="0"/>
              <w:rPr>
                <w:rFonts w:ascii="Arial" w:hAnsi="Arial" w:cs="Arial"/>
                <w:sz w:val="22"/>
                <w:szCs w:val="22"/>
              </w:rPr>
            </w:pPr>
            <w:r w:rsidRPr="00EB4023">
              <w:rPr>
                <w:rFonts w:ascii="Arial" w:hAnsi="Arial" w:cs="Arial"/>
                <w:sz w:val="22"/>
                <w:szCs w:val="22"/>
              </w:rPr>
              <w:t>The Driver and Vehicle and Licensing Agency (DVLA) is legally responsible for deciding if a person is medically unfit to drive. This means it needs to know if a driving licence holder has a condition or is undergoing treatment that may now, or in the future, affect their safety as a driver.</w:t>
            </w:r>
          </w:p>
          <w:p w14:paraId="2688A8C2" w14:textId="77777777" w:rsidR="009A2C28" w:rsidRPr="00EB4023" w:rsidRDefault="009A2C28" w:rsidP="00E13F82">
            <w:pPr>
              <w:snapToGrid w:val="0"/>
              <w:rPr>
                <w:rFonts w:ascii="Arial" w:hAnsi="Arial" w:cs="Arial"/>
                <w:sz w:val="22"/>
                <w:szCs w:val="22"/>
              </w:rPr>
            </w:pPr>
          </w:p>
          <w:p w14:paraId="63BED046" w14:textId="77777777" w:rsidR="009A2C28" w:rsidRPr="00EB4023" w:rsidRDefault="009A2C28" w:rsidP="00E13F82">
            <w:pPr>
              <w:snapToGrid w:val="0"/>
              <w:rPr>
                <w:rFonts w:ascii="Arial" w:hAnsi="Arial" w:cs="Arial"/>
                <w:sz w:val="22"/>
                <w:szCs w:val="22"/>
              </w:rPr>
            </w:pPr>
            <w:r w:rsidRPr="00EB4023">
              <w:rPr>
                <w:rFonts w:ascii="Arial" w:hAnsi="Arial" w:cs="Arial"/>
                <w:sz w:val="22"/>
                <w:szCs w:val="22"/>
              </w:rPr>
              <w:t>This organisation should seek the advice of the DVLA’s medical adviser if not sure whether a patient may be unfit to drive. Any decision that they are fit should be kept under review, particularly if the patient’s condition or treatments change.</w:t>
            </w:r>
          </w:p>
          <w:p w14:paraId="2A48F74E" w14:textId="77777777" w:rsidR="009A2C28" w:rsidRPr="00EB4023" w:rsidRDefault="009A2C28" w:rsidP="00E13F82">
            <w:pPr>
              <w:snapToGrid w:val="0"/>
              <w:rPr>
                <w:rFonts w:ascii="Arial" w:hAnsi="Arial" w:cs="Arial"/>
                <w:sz w:val="22"/>
                <w:szCs w:val="22"/>
              </w:rPr>
            </w:pPr>
          </w:p>
          <w:p w14:paraId="4C443810" w14:textId="220ACCDC" w:rsidR="009A2C28" w:rsidRPr="00EB4023" w:rsidRDefault="009A2C28" w:rsidP="00E13F82">
            <w:pPr>
              <w:snapToGrid w:val="0"/>
              <w:rPr>
                <w:rFonts w:ascii="Arial" w:hAnsi="Arial" w:cs="Arial"/>
                <w:sz w:val="22"/>
                <w:szCs w:val="22"/>
              </w:rPr>
            </w:pPr>
            <w:r>
              <w:rPr>
                <w:rFonts w:ascii="Arial" w:hAnsi="Arial" w:cs="Arial"/>
                <w:sz w:val="22"/>
                <w:szCs w:val="22"/>
              </w:rPr>
              <w:t xml:space="preserve">The DVLA guidance titled </w:t>
            </w:r>
            <w:hyperlink r:id="rId27" w:history="1">
              <w:r w:rsidRPr="00C131D4">
                <w:rPr>
                  <w:rStyle w:val="Hyperlink"/>
                  <w:rFonts w:ascii="Arial" w:hAnsi="Arial" w:cs="Arial"/>
                  <w:sz w:val="22"/>
                  <w:szCs w:val="22"/>
                </w:rPr>
                <w:t xml:space="preserve">Assessing fitness to drive: a guide for </w:t>
              </w:r>
              <w:r w:rsidR="00683F4D" w:rsidRPr="00C131D4">
                <w:rPr>
                  <w:rStyle w:val="Hyperlink"/>
                  <w:rFonts w:ascii="Arial" w:hAnsi="Arial" w:cs="Arial"/>
                  <w:sz w:val="22"/>
                  <w:szCs w:val="22"/>
                </w:rPr>
                <w:t>medical</w:t>
              </w:r>
              <w:r w:rsidRPr="00C131D4">
                <w:rPr>
                  <w:rStyle w:val="Hyperlink"/>
                  <w:rFonts w:ascii="Arial" w:hAnsi="Arial" w:cs="Arial"/>
                  <w:sz w:val="22"/>
                  <w:szCs w:val="22"/>
                </w:rPr>
                <w:t xml:space="preserve"> professionals</w:t>
              </w:r>
            </w:hyperlink>
            <w:r>
              <w:rPr>
                <w:rFonts w:ascii="Arial" w:hAnsi="Arial" w:cs="Arial"/>
                <w:sz w:val="22"/>
                <w:szCs w:val="22"/>
              </w:rPr>
              <w:t xml:space="preserve"> </w:t>
            </w:r>
            <w:r w:rsidRPr="00EB4023">
              <w:rPr>
                <w:rFonts w:ascii="Arial" w:hAnsi="Arial" w:cs="Arial"/>
                <w:sz w:val="22"/>
                <w:szCs w:val="22"/>
              </w:rPr>
              <w:t>includes information about a variety of disorders and conditions that can impair a patient’s fitness to drive. The driver is legally responsible for informing the DVLA about such a condition or treatment. However, if a patient has such a condition, this organisation should explain to the patient:</w:t>
            </w:r>
          </w:p>
          <w:p w14:paraId="702797A6" w14:textId="77777777" w:rsidR="009A2C28" w:rsidRPr="00EB4023" w:rsidRDefault="009A2C28" w:rsidP="00E13F82">
            <w:pPr>
              <w:snapToGrid w:val="0"/>
              <w:rPr>
                <w:rFonts w:ascii="Arial" w:hAnsi="Arial" w:cs="Arial"/>
                <w:sz w:val="22"/>
                <w:szCs w:val="22"/>
              </w:rPr>
            </w:pPr>
          </w:p>
          <w:p w14:paraId="39F1B357" w14:textId="77777777" w:rsidR="009A2C28" w:rsidRPr="00E13F82" w:rsidRDefault="009A2C28" w:rsidP="0058781F">
            <w:pPr>
              <w:pStyle w:val="ListParagraph"/>
              <w:numPr>
                <w:ilvl w:val="0"/>
                <w:numId w:val="23"/>
              </w:numPr>
              <w:snapToGrid w:val="0"/>
              <w:contextualSpacing w:val="0"/>
              <w:rPr>
                <w:rFonts w:ascii="Arial" w:hAnsi="Arial" w:cs="Arial"/>
                <w:sz w:val="22"/>
                <w:szCs w:val="22"/>
              </w:rPr>
            </w:pPr>
            <w:r w:rsidRPr="00E13F82">
              <w:rPr>
                <w:rFonts w:ascii="Arial" w:hAnsi="Arial" w:cs="Arial"/>
                <w:sz w:val="22"/>
                <w:szCs w:val="22"/>
              </w:rPr>
              <w:t>That the condition may affect their ability to drive (if the patient is incapable of understanding this advice, for example, because of dementia, this organisation should inform the DVLA immediately), and</w:t>
            </w:r>
          </w:p>
          <w:p w14:paraId="0879EA26" w14:textId="77777777" w:rsidR="009A2C28" w:rsidRPr="00E13F82" w:rsidRDefault="009A2C28" w:rsidP="00E13F82">
            <w:pPr>
              <w:pStyle w:val="ListParagraph"/>
              <w:snapToGrid w:val="0"/>
              <w:contextualSpacing w:val="0"/>
              <w:rPr>
                <w:rFonts w:ascii="Arial" w:hAnsi="Arial" w:cs="Arial"/>
                <w:sz w:val="22"/>
                <w:szCs w:val="22"/>
              </w:rPr>
            </w:pPr>
          </w:p>
          <w:p w14:paraId="4818699A" w14:textId="77777777" w:rsidR="009A2C28" w:rsidRPr="00E13F82" w:rsidRDefault="009A2C28" w:rsidP="0058781F">
            <w:pPr>
              <w:pStyle w:val="ListParagraph"/>
              <w:numPr>
                <w:ilvl w:val="0"/>
                <w:numId w:val="23"/>
              </w:numPr>
              <w:snapToGrid w:val="0"/>
              <w:contextualSpacing w:val="0"/>
              <w:rPr>
                <w:rFonts w:ascii="Arial" w:hAnsi="Arial" w:cs="Arial"/>
                <w:sz w:val="22"/>
                <w:szCs w:val="22"/>
              </w:rPr>
            </w:pPr>
            <w:r w:rsidRPr="00E13F82">
              <w:rPr>
                <w:rFonts w:ascii="Arial" w:hAnsi="Arial" w:cs="Arial"/>
                <w:sz w:val="22"/>
                <w:szCs w:val="22"/>
              </w:rPr>
              <w:t>That they have a legal duty to inform the DVLA about the condition.</w:t>
            </w:r>
          </w:p>
          <w:p w14:paraId="6B9822D1" w14:textId="77777777" w:rsidR="009A2C28" w:rsidRPr="00EB4023" w:rsidRDefault="009A2C28" w:rsidP="00E13F82">
            <w:pPr>
              <w:snapToGrid w:val="0"/>
              <w:rPr>
                <w:rFonts w:ascii="Arial" w:hAnsi="Arial" w:cs="Arial"/>
                <w:sz w:val="22"/>
                <w:szCs w:val="22"/>
              </w:rPr>
            </w:pPr>
          </w:p>
          <w:p w14:paraId="467C9F04" w14:textId="77777777" w:rsidR="009A2C28" w:rsidRPr="00EB4023" w:rsidRDefault="009A2C28" w:rsidP="00E13F82">
            <w:pPr>
              <w:snapToGrid w:val="0"/>
              <w:rPr>
                <w:rFonts w:ascii="Arial" w:hAnsi="Arial" w:cs="Arial"/>
                <w:sz w:val="22"/>
                <w:szCs w:val="22"/>
              </w:rPr>
            </w:pPr>
            <w:r w:rsidRPr="00EB4023">
              <w:rPr>
                <w:rFonts w:ascii="Arial" w:hAnsi="Arial" w:cs="Arial"/>
                <w:sz w:val="22"/>
                <w:szCs w:val="22"/>
              </w:rPr>
              <w:t>If a patient refuses to accept the diagnosis, or the effect of the condition on their ability to drive, this organisation may suggest that they seek a second opinion and help arrange for them to do so. They should advise the patient not to drive in the meantime.</w:t>
            </w:r>
          </w:p>
          <w:p w14:paraId="35ED364B" w14:textId="77777777" w:rsidR="009A2C28" w:rsidRPr="00EB4023" w:rsidRDefault="009A2C28" w:rsidP="00E13F82">
            <w:pPr>
              <w:snapToGrid w:val="0"/>
              <w:rPr>
                <w:rFonts w:ascii="Arial" w:hAnsi="Arial" w:cs="Arial"/>
                <w:sz w:val="22"/>
                <w:szCs w:val="22"/>
              </w:rPr>
            </w:pPr>
          </w:p>
          <w:p w14:paraId="6848ACEA" w14:textId="77777777" w:rsidR="009A2C28" w:rsidRPr="00EB4023" w:rsidRDefault="009A2C28" w:rsidP="00E13F82">
            <w:pPr>
              <w:snapToGrid w:val="0"/>
              <w:rPr>
                <w:rFonts w:ascii="Arial" w:hAnsi="Arial" w:cs="Arial"/>
                <w:sz w:val="22"/>
                <w:szCs w:val="22"/>
              </w:rPr>
            </w:pPr>
            <w:r w:rsidRPr="00EB4023">
              <w:rPr>
                <w:rFonts w:ascii="Arial" w:hAnsi="Arial" w:cs="Arial"/>
                <w:sz w:val="22"/>
                <w:szCs w:val="22"/>
              </w:rPr>
              <w:lastRenderedPageBreak/>
              <w:t>If a patient continues to drive when they may not be fit to do so, this organisation should make every reasonable effort to persuade them to stop. If the patient agrees, this organisation may discuss the concerns with their relatives, friends or carers. If the organisation does not manage to persuade the patient to stop driving or discovers that they are continuing to drive against advice, the DVLA should be contacted immediately and any relevant medical information disclosed, in confidence, to the medical adviser.</w:t>
            </w:r>
          </w:p>
          <w:p w14:paraId="471E8CC3" w14:textId="77777777" w:rsidR="009A2C28" w:rsidRPr="00EB4023" w:rsidRDefault="009A2C28" w:rsidP="00E13F82">
            <w:pPr>
              <w:snapToGrid w:val="0"/>
              <w:rPr>
                <w:rFonts w:ascii="Arial" w:hAnsi="Arial" w:cs="Arial"/>
                <w:sz w:val="22"/>
                <w:szCs w:val="22"/>
              </w:rPr>
            </w:pPr>
          </w:p>
          <w:p w14:paraId="7A0AE310" w14:textId="77777777" w:rsidR="009A2C28" w:rsidRPr="00EB4023" w:rsidRDefault="009A2C28" w:rsidP="00E13F82">
            <w:pPr>
              <w:snapToGrid w:val="0"/>
              <w:rPr>
                <w:rFonts w:ascii="Arial" w:hAnsi="Arial" w:cs="Arial"/>
                <w:sz w:val="22"/>
                <w:szCs w:val="22"/>
              </w:rPr>
            </w:pPr>
            <w:r w:rsidRPr="00EB4023">
              <w:rPr>
                <w:rFonts w:ascii="Arial" w:hAnsi="Arial" w:cs="Arial"/>
                <w:sz w:val="22"/>
                <w:szCs w:val="22"/>
              </w:rPr>
              <w:t>Before contacting the DVLA, this organisation should try to inform the patient of the decision to disclose personal information. The patient should be informed in writing of the disclosure.</w:t>
            </w:r>
          </w:p>
          <w:p w14:paraId="0EB5CEEE" w14:textId="77777777" w:rsidR="009A2C28" w:rsidRPr="00EB4023" w:rsidRDefault="009A2C28" w:rsidP="00E13F82">
            <w:pPr>
              <w:pStyle w:val="NoSpacing"/>
              <w:snapToGrid w:val="0"/>
              <w:rPr>
                <w:rFonts w:ascii="Arial" w:hAnsi="Arial" w:cs="Arial"/>
              </w:rPr>
            </w:pPr>
          </w:p>
        </w:tc>
      </w:tr>
      <w:tr w:rsidR="009A2C28" w:rsidRPr="002C2CC0" w14:paraId="29009674" w14:textId="77777777" w:rsidTr="009A2C28">
        <w:tc>
          <w:tcPr>
            <w:tcW w:w="2830" w:type="dxa"/>
          </w:tcPr>
          <w:p w14:paraId="25142571" w14:textId="77777777" w:rsidR="009A2C28" w:rsidRPr="002C2CC0" w:rsidRDefault="009A2C28" w:rsidP="00E13F82">
            <w:pPr>
              <w:snapToGrid w:val="0"/>
              <w:rPr>
                <w:rFonts w:ascii="Arial" w:hAnsi="Arial" w:cs="Arial"/>
                <w:sz w:val="22"/>
                <w:szCs w:val="22"/>
              </w:rPr>
            </w:pPr>
            <w:r>
              <w:rPr>
                <w:rFonts w:ascii="Arial" w:hAnsi="Arial" w:cs="Arial"/>
                <w:sz w:val="22"/>
                <w:szCs w:val="22"/>
              </w:rPr>
              <w:lastRenderedPageBreak/>
              <w:t>Disclosing records for financial and administrative purposes</w:t>
            </w:r>
          </w:p>
        </w:tc>
        <w:tc>
          <w:tcPr>
            <w:tcW w:w="11199" w:type="dxa"/>
          </w:tcPr>
          <w:p w14:paraId="10ED309A" w14:textId="77777777" w:rsidR="009A2C28" w:rsidRPr="00740F13" w:rsidRDefault="009A2C28" w:rsidP="00E13F82">
            <w:pPr>
              <w:snapToGrid w:val="0"/>
              <w:rPr>
                <w:rFonts w:ascii="Arial" w:hAnsi="Arial" w:cs="Arial"/>
                <w:sz w:val="22"/>
                <w:szCs w:val="22"/>
              </w:rPr>
            </w:pPr>
            <w:r>
              <w:rPr>
                <w:rFonts w:ascii="Arial" w:hAnsi="Arial" w:cs="Arial"/>
                <w:sz w:val="22"/>
                <w:szCs w:val="22"/>
              </w:rPr>
              <w:t>T</w:t>
            </w:r>
            <w:r w:rsidRPr="0038792E">
              <w:rPr>
                <w:rFonts w:ascii="Arial" w:hAnsi="Arial" w:cs="Arial"/>
                <w:sz w:val="22"/>
                <w:szCs w:val="22"/>
              </w:rPr>
              <w:t xml:space="preserve">his organisation </w:t>
            </w:r>
            <w:r w:rsidRPr="00740F13">
              <w:rPr>
                <w:rFonts w:ascii="Arial" w:hAnsi="Arial" w:cs="Arial"/>
                <w:sz w:val="22"/>
                <w:szCs w:val="22"/>
              </w:rPr>
              <w:t xml:space="preserve">should ensure that financial and administrative information is recorded separately from clinical information. If a request to disclose information about patients for financial or administrative purposes is received, this should be provided, if practicable, in anonymised or coded form, if that will serve the purpose. </w:t>
            </w:r>
          </w:p>
          <w:p w14:paraId="766E4189" w14:textId="77777777" w:rsidR="009A2C28" w:rsidRPr="00740F13" w:rsidRDefault="009A2C28" w:rsidP="00E13F82">
            <w:pPr>
              <w:snapToGrid w:val="0"/>
              <w:rPr>
                <w:rFonts w:ascii="Arial" w:hAnsi="Arial" w:cs="Arial"/>
                <w:sz w:val="22"/>
                <w:szCs w:val="22"/>
              </w:rPr>
            </w:pPr>
          </w:p>
          <w:p w14:paraId="7ED50A72" w14:textId="77777777" w:rsidR="009A2C28" w:rsidRPr="00740F13" w:rsidRDefault="009A2C28" w:rsidP="00E13F82">
            <w:pPr>
              <w:snapToGrid w:val="0"/>
              <w:rPr>
                <w:rFonts w:ascii="Arial" w:hAnsi="Arial" w:cs="Arial"/>
                <w:sz w:val="22"/>
                <w:szCs w:val="22"/>
              </w:rPr>
            </w:pPr>
            <w:r w:rsidRPr="00740F13">
              <w:rPr>
                <w:rFonts w:ascii="Arial" w:hAnsi="Arial" w:cs="Arial"/>
                <w:sz w:val="22"/>
                <w:szCs w:val="22"/>
              </w:rPr>
              <w:t xml:space="preserve">If identifiable information is needed, </w:t>
            </w:r>
            <w:r>
              <w:rPr>
                <w:rFonts w:ascii="Arial" w:hAnsi="Arial" w:cs="Arial"/>
                <w:sz w:val="22"/>
                <w:szCs w:val="22"/>
              </w:rPr>
              <w:t>the organisation</w:t>
            </w:r>
            <w:r w:rsidRPr="00740F13">
              <w:rPr>
                <w:rFonts w:ascii="Arial" w:hAnsi="Arial" w:cs="Arial"/>
                <w:sz w:val="22"/>
                <w:szCs w:val="22"/>
              </w:rPr>
              <w:t xml:space="preserve"> should, if practicable, seek the patient’s express consent before disclosure. Patients should be advised of the nature and purpose of the disclosures made for financial and administrative purposes if necessary. </w:t>
            </w:r>
          </w:p>
          <w:p w14:paraId="4DFEA3FC" w14:textId="77777777" w:rsidR="009A2C28" w:rsidRPr="00740F13" w:rsidRDefault="009A2C28" w:rsidP="00E13F82">
            <w:pPr>
              <w:snapToGrid w:val="0"/>
              <w:rPr>
                <w:rFonts w:ascii="Arial" w:hAnsi="Arial" w:cs="Arial"/>
                <w:sz w:val="22"/>
                <w:szCs w:val="22"/>
              </w:rPr>
            </w:pPr>
          </w:p>
          <w:p w14:paraId="3CE5DC07" w14:textId="77777777" w:rsidR="009A2C28" w:rsidRPr="00740F13" w:rsidRDefault="009A2C28" w:rsidP="00E13F82">
            <w:pPr>
              <w:snapToGrid w:val="0"/>
              <w:rPr>
                <w:rFonts w:ascii="Arial" w:hAnsi="Arial" w:cs="Arial"/>
                <w:sz w:val="22"/>
                <w:szCs w:val="22"/>
              </w:rPr>
            </w:pPr>
            <w:r w:rsidRPr="00740F13">
              <w:rPr>
                <w:rFonts w:ascii="Arial" w:hAnsi="Arial" w:cs="Arial"/>
                <w:sz w:val="22"/>
                <w:szCs w:val="22"/>
              </w:rPr>
              <w:t xml:space="preserve">If a patient objects, and </w:t>
            </w:r>
            <w:r>
              <w:rPr>
                <w:rFonts w:ascii="Arial" w:hAnsi="Arial" w:cs="Arial"/>
                <w:sz w:val="22"/>
                <w:szCs w:val="22"/>
              </w:rPr>
              <w:t>the organisation is</w:t>
            </w:r>
            <w:r w:rsidRPr="00740F13">
              <w:rPr>
                <w:rFonts w:ascii="Arial" w:hAnsi="Arial" w:cs="Arial"/>
                <w:sz w:val="22"/>
                <w:szCs w:val="22"/>
              </w:rPr>
              <w:t xml:space="preserve"> satisfied that it is not possible to comply with the patient’s wishes and still provide care, this should be explained to the patient. Before any disclosure is made, </w:t>
            </w:r>
            <w:r>
              <w:rPr>
                <w:rFonts w:ascii="Arial" w:hAnsi="Arial" w:cs="Arial"/>
                <w:sz w:val="22"/>
                <w:szCs w:val="22"/>
              </w:rPr>
              <w:t>t</w:t>
            </w:r>
            <w:r w:rsidRPr="0038792E">
              <w:rPr>
                <w:rFonts w:ascii="Arial" w:hAnsi="Arial" w:cs="Arial"/>
                <w:sz w:val="22"/>
                <w:szCs w:val="22"/>
              </w:rPr>
              <w:t xml:space="preserve">his organisation </w:t>
            </w:r>
            <w:r w:rsidRPr="00740F13">
              <w:rPr>
                <w:rFonts w:ascii="Arial" w:hAnsi="Arial" w:cs="Arial"/>
                <w:sz w:val="22"/>
                <w:szCs w:val="22"/>
              </w:rPr>
              <w:t>should be satisfied that any parties who will have access to the information</w:t>
            </w:r>
            <w:r>
              <w:rPr>
                <w:rFonts w:ascii="Arial" w:hAnsi="Arial" w:cs="Arial"/>
                <w:sz w:val="22"/>
                <w:szCs w:val="22"/>
              </w:rPr>
              <w:t xml:space="preserve"> are</w:t>
            </w:r>
            <w:r w:rsidRPr="00740F13">
              <w:rPr>
                <w:rFonts w:ascii="Arial" w:hAnsi="Arial" w:cs="Arial"/>
                <w:sz w:val="22"/>
                <w:szCs w:val="22"/>
              </w:rPr>
              <w:t xml:space="preserve"> bound by a duty of confidentiality not to disclose it further.</w:t>
            </w:r>
          </w:p>
          <w:p w14:paraId="5936DE72" w14:textId="77777777" w:rsidR="009A2C28" w:rsidRPr="00740F13" w:rsidRDefault="009A2C28" w:rsidP="00E13F82">
            <w:pPr>
              <w:pStyle w:val="NoSpacing"/>
              <w:snapToGrid w:val="0"/>
              <w:rPr>
                <w:rFonts w:ascii="Arial" w:hAnsi="Arial" w:cs="Arial"/>
              </w:rPr>
            </w:pPr>
          </w:p>
        </w:tc>
      </w:tr>
      <w:tr w:rsidR="009A2C28" w:rsidRPr="002C2CC0" w14:paraId="2C54DA5C" w14:textId="77777777" w:rsidTr="009A2C28">
        <w:tc>
          <w:tcPr>
            <w:tcW w:w="2830" w:type="dxa"/>
          </w:tcPr>
          <w:p w14:paraId="1698AE38" w14:textId="77777777" w:rsidR="009A2C28" w:rsidRPr="002C2CC0" w:rsidRDefault="009A2C28" w:rsidP="00E13F82">
            <w:pPr>
              <w:snapToGrid w:val="0"/>
              <w:rPr>
                <w:rFonts w:ascii="Arial" w:hAnsi="Arial" w:cs="Arial"/>
                <w:sz w:val="22"/>
                <w:szCs w:val="22"/>
              </w:rPr>
            </w:pPr>
            <w:r>
              <w:rPr>
                <w:rFonts w:ascii="Arial" w:hAnsi="Arial" w:cs="Arial"/>
                <w:sz w:val="22"/>
                <w:szCs w:val="22"/>
              </w:rPr>
              <w:t>Disclosing information for insurance, employment and similar purposes</w:t>
            </w:r>
          </w:p>
        </w:tc>
        <w:tc>
          <w:tcPr>
            <w:tcW w:w="11199" w:type="dxa"/>
          </w:tcPr>
          <w:p w14:paraId="7A605828" w14:textId="77777777" w:rsidR="009A2C28" w:rsidRPr="00740F13" w:rsidRDefault="009A2C28" w:rsidP="00E13F82">
            <w:pPr>
              <w:pStyle w:val="NoSpacing"/>
              <w:rPr>
                <w:rFonts w:ascii="Arial" w:hAnsi="Arial" w:cs="Arial"/>
              </w:rPr>
            </w:pPr>
            <w:r w:rsidRPr="00740F13">
              <w:rPr>
                <w:rFonts w:ascii="Arial" w:hAnsi="Arial" w:cs="Arial"/>
              </w:rPr>
              <w:t xml:space="preserve">The first duty of a </w:t>
            </w:r>
            <w:r>
              <w:rPr>
                <w:rFonts w:ascii="Arial" w:hAnsi="Arial" w:cs="Arial"/>
              </w:rPr>
              <w:t>clinician disclosing any such information</w:t>
            </w:r>
            <w:r w:rsidRPr="00740F13">
              <w:rPr>
                <w:rFonts w:ascii="Arial" w:hAnsi="Arial" w:cs="Arial"/>
              </w:rPr>
              <w:t xml:space="preserve"> is to make the care of their patient their first concern. The term ‘patient’ in this guidance also refers to employees, clients, athletes and anyone else whose personal information </w:t>
            </w:r>
            <w:r>
              <w:rPr>
                <w:rFonts w:ascii="Arial" w:hAnsi="Arial" w:cs="Arial"/>
              </w:rPr>
              <w:t xml:space="preserve">that this organisation </w:t>
            </w:r>
            <w:r w:rsidRPr="00740F13">
              <w:rPr>
                <w:rFonts w:ascii="Arial" w:hAnsi="Arial" w:cs="Arial"/>
              </w:rPr>
              <w:t>hold</w:t>
            </w:r>
            <w:r>
              <w:rPr>
                <w:rFonts w:ascii="Arial" w:hAnsi="Arial" w:cs="Arial"/>
              </w:rPr>
              <w:t>s</w:t>
            </w:r>
            <w:r w:rsidRPr="00740F13">
              <w:rPr>
                <w:rFonts w:ascii="Arial" w:hAnsi="Arial" w:cs="Arial"/>
              </w:rPr>
              <w:t xml:space="preserve"> or ha</w:t>
            </w:r>
            <w:r>
              <w:rPr>
                <w:rFonts w:ascii="Arial" w:hAnsi="Arial" w:cs="Arial"/>
              </w:rPr>
              <w:t>s</w:t>
            </w:r>
            <w:r w:rsidRPr="00740F13">
              <w:rPr>
                <w:rFonts w:ascii="Arial" w:hAnsi="Arial" w:cs="Arial"/>
              </w:rPr>
              <w:t xml:space="preserve"> access to, whether or not</w:t>
            </w:r>
            <w:r>
              <w:rPr>
                <w:rFonts w:ascii="Arial" w:hAnsi="Arial" w:cs="Arial"/>
              </w:rPr>
              <w:t xml:space="preserve"> it</w:t>
            </w:r>
            <w:r w:rsidRPr="00740F13">
              <w:rPr>
                <w:rFonts w:ascii="Arial" w:hAnsi="Arial" w:cs="Arial"/>
              </w:rPr>
              <w:t xml:space="preserve"> care</w:t>
            </w:r>
            <w:r>
              <w:rPr>
                <w:rFonts w:ascii="Arial" w:hAnsi="Arial" w:cs="Arial"/>
              </w:rPr>
              <w:t>s</w:t>
            </w:r>
            <w:r w:rsidRPr="00740F13">
              <w:rPr>
                <w:rFonts w:ascii="Arial" w:hAnsi="Arial" w:cs="Arial"/>
              </w:rPr>
              <w:t xml:space="preserve"> for them in a traditional therapeutic relationship.</w:t>
            </w:r>
          </w:p>
          <w:p w14:paraId="5D22F11D" w14:textId="77777777" w:rsidR="009A2C28" w:rsidRPr="00740F13" w:rsidRDefault="009A2C28" w:rsidP="00E13F82">
            <w:pPr>
              <w:pStyle w:val="NoSpacing"/>
              <w:rPr>
                <w:rFonts w:ascii="Arial" w:hAnsi="Arial" w:cs="Arial"/>
              </w:rPr>
            </w:pPr>
          </w:p>
          <w:p w14:paraId="2088C5AC" w14:textId="77777777" w:rsidR="009A2C28" w:rsidRPr="00740F13" w:rsidRDefault="009A2C28" w:rsidP="00E13F82">
            <w:pPr>
              <w:pStyle w:val="NoSpacing"/>
              <w:rPr>
                <w:rFonts w:ascii="Arial" w:hAnsi="Arial" w:cs="Arial"/>
              </w:rPr>
            </w:pPr>
            <w:r w:rsidRPr="00740F13">
              <w:rPr>
                <w:rFonts w:ascii="Arial" w:hAnsi="Arial" w:cs="Arial"/>
              </w:rPr>
              <w:t xml:space="preserve">There are many circumstances in which </w:t>
            </w:r>
            <w:r>
              <w:rPr>
                <w:rFonts w:ascii="Arial" w:hAnsi="Arial" w:cs="Arial"/>
              </w:rPr>
              <w:t>a healthcare professional</w:t>
            </w:r>
            <w:r w:rsidRPr="00740F13">
              <w:rPr>
                <w:rFonts w:ascii="Arial" w:hAnsi="Arial" w:cs="Arial"/>
              </w:rPr>
              <w:t xml:space="preserve"> might be asked to disclose information, either following an examination of a patient or from existing records, and in which they face ‘dual obligations.’</w:t>
            </w:r>
          </w:p>
          <w:p w14:paraId="3A140CAF" w14:textId="77777777" w:rsidR="009A2C28" w:rsidRPr="00740F13" w:rsidRDefault="009A2C28" w:rsidP="00E13F82">
            <w:pPr>
              <w:pStyle w:val="NoSpacing"/>
              <w:rPr>
                <w:rFonts w:ascii="Arial" w:hAnsi="Arial" w:cs="Arial"/>
              </w:rPr>
            </w:pPr>
          </w:p>
          <w:p w14:paraId="2E376E11" w14:textId="77777777" w:rsidR="009A2C28" w:rsidRPr="00740F13" w:rsidRDefault="009A2C28" w:rsidP="00E13F82">
            <w:pPr>
              <w:pStyle w:val="NoSpacing"/>
              <w:rPr>
                <w:rFonts w:ascii="Arial" w:hAnsi="Arial" w:cs="Arial"/>
              </w:rPr>
            </w:pPr>
            <w:r w:rsidRPr="00740F13">
              <w:rPr>
                <w:rFonts w:ascii="Arial" w:hAnsi="Arial" w:cs="Arial"/>
              </w:rPr>
              <w:t xml:space="preserve">Usually, dual obligations arise when a </w:t>
            </w:r>
            <w:r>
              <w:rPr>
                <w:rFonts w:ascii="Arial" w:hAnsi="Arial" w:cs="Arial"/>
              </w:rPr>
              <w:t>clinician</w:t>
            </w:r>
            <w:r w:rsidRPr="00740F13">
              <w:rPr>
                <w:rFonts w:ascii="Arial" w:hAnsi="Arial" w:cs="Arial"/>
              </w:rPr>
              <w:t xml:space="preserve"> works for, is contracted by, or otherwise provides services to:</w:t>
            </w:r>
          </w:p>
          <w:p w14:paraId="1F864983" w14:textId="77777777" w:rsidR="009A2C28" w:rsidRPr="00740F13" w:rsidRDefault="009A2C28" w:rsidP="00E13F82">
            <w:pPr>
              <w:pStyle w:val="NoSpacing"/>
              <w:rPr>
                <w:rFonts w:ascii="Arial" w:hAnsi="Arial" w:cs="Arial"/>
              </w:rPr>
            </w:pPr>
          </w:p>
          <w:p w14:paraId="7DBED711" w14:textId="77777777" w:rsidR="009A2C28" w:rsidRPr="00740F13" w:rsidRDefault="009A2C28" w:rsidP="0058781F">
            <w:pPr>
              <w:pStyle w:val="NoSpacing"/>
              <w:numPr>
                <w:ilvl w:val="0"/>
                <w:numId w:val="23"/>
              </w:numPr>
              <w:rPr>
                <w:rFonts w:ascii="Arial" w:hAnsi="Arial" w:cs="Arial"/>
              </w:rPr>
            </w:pPr>
            <w:r w:rsidRPr="00740F13">
              <w:rPr>
                <w:rFonts w:ascii="Arial" w:hAnsi="Arial" w:cs="Arial"/>
              </w:rPr>
              <w:t xml:space="preserve">A patient’s employer (as an occupational health </w:t>
            </w:r>
            <w:r>
              <w:rPr>
                <w:rFonts w:ascii="Arial" w:hAnsi="Arial" w:cs="Arial"/>
              </w:rPr>
              <w:t>advisor</w:t>
            </w:r>
            <w:r w:rsidRPr="00740F13">
              <w:rPr>
                <w:rFonts w:ascii="Arial" w:hAnsi="Arial" w:cs="Arial"/>
              </w:rPr>
              <w:t>)</w:t>
            </w:r>
          </w:p>
          <w:p w14:paraId="1D4D9506" w14:textId="77777777" w:rsidR="009A2C28" w:rsidRPr="00740F13" w:rsidRDefault="009A2C28" w:rsidP="0058781F">
            <w:pPr>
              <w:pStyle w:val="NoSpacing"/>
              <w:numPr>
                <w:ilvl w:val="0"/>
                <w:numId w:val="23"/>
              </w:numPr>
              <w:rPr>
                <w:rFonts w:ascii="Arial" w:hAnsi="Arial" w:cs="Arial"/>
              </w:rPr>
            </w:pPr>
            <w:r w:rsidRPr="00740F13">
              <w:rPr>
                <w:rFonts w:ascii="Arial" w:hAnsi="Arial" w:cs="Arial"/>
              </w:rPr>
              <w:t>An insurance company</w:t>
            </w:r>
          </w:p>
          <w:p w14:paraId="445AC5BF" w14:textId="77777777" w:rsidR="009A2C28" w:rsidRPr="00740F13" w:rsidRDefault="009A2C28" w:rsidP="0058781F">
            <w:pPr>
              <w:pStyle w:val="NoSpacing"/>
              <w:numPr>
                <w:ilvl w:val="0"/>
                <w:numId w:val="23"/>
              </w:numPr>
              <w:rPr>
                <w:rFonts w:ascii="Arial" w:hAnsi="Arial" w:cs="Arial"/>
              </w:rPr>
            </w:pPr>
            <w:r w:rsidRPr="00740F13">
              <w:rPr>
                <w:rFonts w:ascii="Arial" w:hAnsi="Arial" w:cs="Arial"/>
              </w:rPr>
              <w:lastRenderedPageBreak/>
              <w:t>An agency assessing a claimant’s entitlement to benefits</w:t>
            </w:r>
          </w:p>
          <w:p w14:paraId="6960FD90" w14:textId="77777777" w:rsidR="009A2C28" w:rsidRPr="00740F13" w:rsidRDefault="009A2C28" w:rsidP="0058781F">
            <w:pPr>
              <w:pStyle w:val="NoSpacing"/>
              <w:numPr>
                <w:ilvl w:val="0"/>
                <w:numId w:val="23"/>
              </w:numPr>
              <w:rPr>
                <w:rFonts w:ascii="Arial" w:hAnsi="Arial" w:cs="Arial"/>
              </w:rPr>
            </w:pPr>
            <w:r w:rsidRPr="00740F13">
              <w:rPr>
                <w:rFonts w:ascii="Arial" w:hAnsi="Arial" w:cs="Arial"/>
              </w:rPr>
              <w:t>The police (as a police surgeon)</w:t>
            </w:r>
          </w:p>
          <w:p w14:paraId="48EC5A99" w14:textId="77777777" w:rsidR="009A2C28" w:rsidRPr="00740F13" w:rsidRDefault="009A2C28" w:rsidP="0058781F">
            <w:pPr>
              <w:pStyle w:val="NoSpacing"/>
              <w:numPr>
                <w:ilvl w:val="0"/>
                <w:numId w:val="23"/>
              </w:numPr>
              <w:rPr>
                <w:rFonts w:ascii="Arial" w:hAnsi="Arial" w:cs="Arial"/>
              </w:rPr>
            </w:pPr>
            <w:r w:rsidRPr="00740F13">
              <w:rPr>
                <w:rFonts w:ascii="Arial" w:hAnsi="Arial" w:cs="Arial"/>
              </w:rPr>
              <w:t>The armed forces</w:t>
            </w:r>
          </w:p>
          <w:p w14:paraId="2E5C7EE4" w14:textId="77777777" w:rsidR="009A2C28" w:rsidRPr="00740F13" w:rsidRDefault="009A2C28" w:rsidP="0058781F">
            <w:pPr>
              <w:pStyle w:val="NoSpacing"/>
              <w:numPr>
                <w:ilvl w:val="0"/>
                <w:numId w:val="23"/>
              </w:numPr>
              <w:rPr>
                <w:rFonts w:ascii="Arial" w:hAnsi="Arial" w:cs="Arial"/>
              </w:rPr>
            </w:pPr>
            <w:r w:rsidRPr="00740F13">
              <w:rPr>
                <w:rFonts w:ascii="Arial" w:hAnsi="Arial" w:cs="Arial"/>
              </w:rPr>
              <w:t>The prison service</w:t>
            </w:r>
          </w:p>
          <w:p w14:paraId="2D7CCC78" w14:textId="77777777" w:rsidR="009A2C28" w:rsidRPr="00740F13" w:rsidRDefault="009A2C28" w:rsidP="0058781F">
            <w:pPr>
              <w:pStyle w:val="NoSpacing"/>
              <w:numPr>
                <w:ilvl w:val="0"/>
                <w:numId w:val="23"/>
              </w:numPr>
              <w:rPr>
                <w:rFonts w:ascii="Arial" w:hAnsi="Arial" w:cs="Arial"/>
              </w:rPr>
            </w:pPr>
            <w:r w:rsidRPr="00740F13">
              <w:rPr>
                <w:rFonts w:ascii="Arial" w:hAnsi="Arial" w:cs="Arial"/>
              </w:rPr>
              <w:t>A sports team or association</w:t>
            </w:r>
          </w:p>
          <w:p w14:paraId="27BCD0B1" w14:textId="77777777" w:rsidR="009A2C28" w:rsidRPr="00740F13" w:rsidRDefault="009A2C28" w:rsidP="00E13F82">
            <w:pPr>
              <w:pStyle w:val="NoSpacing"/>
              <w:rPr>
                <w:rFonts w:ascii="Arial" w:hAnsi="Arial" w:cs="Arial"/>
              </w:rPr>
            </w:pPr>
          </w:p>
          <w:p w14:paraId="119ED984" w14:textId="77777777" w:rsidR="009A2C28" w:rsidRDefault="009A2C28" w:rsidP="00E13F82">
            <w:pPr>
              <w:pStyle w:val="NoSpacing"/>
              <w:rPr>
                <w:rFonts w:ascii="Arial" w:hAnsi="Arial" w:cs="Arial"/>
              </w:rPr>
            </w:pPr>
            <w:r w:rsidRPr="00740F13">
              <w:rPr>
                <w:rFonts w:ascii="Arial" w:hAnsi="Arial" w:cs="Arial"/>
              </w:rPr>
              <w:t xml:space="preserve">Alternatively, a person or organisation </w:t>
            </w:r>
            <w:r>
              <w:rPr>
                <w:rFonts w:ascii="Arial" w:hAnsi="Arial" w:cs="Arial"/>
              </w:rPr>
              <w:t>that there has</w:t>
            </w:r>
            <w:r w:rsidRPr="00740F13">
              <w:rPr>
                <w:rFonts w:ascii="Arial" w:hAnsi="Arial" w:cs="Arial"/>
              </w:rPr>
              <w:t xml:space="preserve"> previously </w:t>
            </w:r>
            <w:r>
              <w:rPr>
                <w:rFonts w:ascii="Arial" w:hAnsi="Arial" w:cs="Arial"/>
              </w:rPr>
              <w:t xml:space="preserve">been </w:t>
            </w:r>
            <w:r w:rsidRPr="00740F13">
              <w:rPr>
                <w:rFonts w:ascii="Arial" w:hAnsi="Arial" w:cs="Arial"/>
              </w:rPr>
              <w:t xml:space="preserve">no direct relationship with, such as a patient’s employer or insurance company, might ask for a medical report or information about a patient. </w:t>
            </w:r>
          </w:p>
          <w:p w14:paraId="160B4DCF" w14:textId="77777777" w:rsidR="009A2C28" w:rsidRDefault="009A2C28" w:rsidP="00E13F82">
            <w:pPr>
              <w:pStyle w:val="NoSpacing"/>
              <w:rPr>
                <w:rFonts w:ascii="Arial" w:hAnsi="Arial" w:cs="Arial"/>
              </w:rPr>
            </w:pPr>
          </w:p>
          <w:p w14:paraId="4AB4C229" w14:textId="77777777" w:rsidR="009A2C28" w:rsidRPr="00740F13" w:rsidRDefault="009A2C28" w:rsidP="00E13F82">
            <w:pPr>
              <w:pStyle w:val="NoSpacing"/>
              <w:rPr>
                <w:rFonts w:ascii="Arial" w:hAnsi="Arial" w:cs="Arial"/>
              </w:rPr>
            </w:pPr>
            <w:r>
              <w:rPr>
                <w:rFonts w:ascii="Arial" w:hAnsi="Arial" w:cs="Arial"/>
              </w:rPr>
              <w:t>T</w:t>
            </w:r>
            <w:r w:rsidRPr="0038792E">
              <w:rPr>
                <w:rFonts w:ascii="Arial" w:hAnsi="Arial" w:cs="Arial"/>
              </w:rPr>
              <w:t xml:space="preserve">his organisation </w:t>
            </w:r>
            <w:r w:rsidRPr="00740F13">
              <w:rPr>
                <w:rFonts w:ascii="Arial" w:hAnsi="Arial" w:cs="Arial"/>
              </w:rPr>
              <w:t>might be offered payment for the service, giving rise to an obligation in addition to the one owed to the patient.</w:t>
            </w:r>
          </w:p>
          <w:p w14:paraId="13896F12" w14:textId="77777777" w:rsidR="009A2C28" w:rsidRPr="00740F13" w:rsidRDefault="009A2C28" w:rsidP="00E13F82">
            <w:pPr>
              <w:pStyle w:val="NoSpacing"/>
              <w:rPr>
                <w:rFonts w:ascii="Arial" w:hAnsi="Arial" w:cs="Arial"/>
              </w:rPr>
            </w:pPr>
          </w:p>
          <w:p w14:paraId="1A76C6A8" w14:textId="77777777" w:rsidR="009A2C28" w:rsidRPr="00740F13" w:rsidRDefault="009A2C28" w:rsidP="00E13F82">
            <w:pPr>
              <w:pStyle w:val="NoSpacing"/>
              <w:rPr>
                <w:rFonts w:ascii="Arial" w:hAnsi="Arial" w:cs="Arial"/>
                <w:b/>
                <w:bCs/>
              </w:rPr>
            </w:pPr>
            <w:r w:rsidRPr="00740F13">
              <w:rPr>
                <w:rFonts w:ascii="Arial" w:hAnsi="Arial" w:cs="Arial"/>
                <w:b/>
                <w:bCs/>
              </w:rPr>
              <w:t>Extent of the disclosure</w:t>
            </w:r>
            <w:r w:rsidRPr="00740F13">
              <w:rPr>
                <w:rFonts w:ascii="Arial" w:hAnsi="Arial" w:cs="Arial"/>
                <w:b/>
                <w:bCs/>
              </w:rPr>
              <w:tab/>
            </w:r>
          </w:p>
          <w:p w14:paraId="59AFC896" w14:textId="77777777" w:rsidR="009A2C28" w:rsidRPr="00740F13" w:rsidRDefault="009A2C28" w:rsidP="00E13F82">
            <w:pPr>
              <w:pStyle w:val="NoSpacing"/>
              <w:rPr>
                <w:rFonts w:ascii="Arial" w:hAnsi="Arial" w:cs="Arial"/>
              </w:rPr>
            </w:pPr>
          </w:p>
          <w:p w14:paraId="47AF0D1D" w14:textId="77777777" w:rsidR="009A2C28" w:rsidRDefault="009A2C28" w:rsidP="00E13F82">
            <w:pPr>
              <w:pStyle w:val="NoSpacing"/>
              <w:rPr>
                <w:rFonts w:ascii="Arial" w:hAnsi="Arial" w:cs="Arial"/>
              </w:rPr>
            </w:pPr>
            <w:r>
              <w:rPr>
                <w:rFonts w:ascii="Arial" w:hAnsi="Arial" w:cs="Arial"/>
              </w:rPr>
              <w:t>This organisation</w:t>
            </w:r>
            <w:r w:rsidRPr="00740F13">
              <w:rPr>
                <w:rFonts w:ascii="Arial" w:hAnsi="Arial" w:cs="Arial"/>
              </w:rPr>
              <w:t xml:space="preserve"> should disclose only information relevant to the request for disclosure which would not usually entail disclosure of a patient’s full record. Exceptions to this general rule include benefit claims and litigation. The full record may be relevant to some benefits paid by government departments or agencies.</w:t>
            </w:r>
          </w:p>
          <w:p w14:paraId="2196FD95" w14:textId="77777777" w:rsidR="009A2C28" w:rsidRDefault="009A2C28" w:rsidP="00E13F82">
            <w:pPr>
              <w:pStyle w:val="NoSpacing"/>
              <w:rPr>
                <w:rFonts w:ascii="Arial" w:hAnsi="Arial" w:cs="Arial"/>
              </w:rPr>
            </w:pPr>
          </w:p>
          <w:p w14:paraId="388B141F" w14:textId="77777777" w:rsidR="009A2C28" w:rsidRDefault="009A2C28" w:rsidP="00E13F82">
            <w:pPr>
              <w:pStyle w:val="NoSpacing"/>
              <w:rPr>
                <w:rFonts w:ascii="Arial" w:hAnsi="Arial" w:cs="Arial"/>
              </w:rPr>
            </w:pPr>
            <w:r w:rsidRPr="00740F13">
              <w:rPr>
                <w:rFonts w:ascii="Arial" w:hAnsi="Arial" w:cs="Arial"/>
              </w:rPr>
              <w:t>A solicitor may need to see their client’s whole record to assess which parts are relevant, for example, to personal injury claims. If the claim goes ahead, the person the claim is made against may ask for copies of important documents which could include records containing the patient’s medical history.</w:t>
            </w:r>
          </w:p>
          <w:p w14:paraId="4A8FBEAE" w14:textId="77777777" w:rsidR="009A2C28" w:rsidRDefault="009A2C28" w:rsidP="00E13F82">
            <w:pPr>
              <w:pStyle w:val="NoSpacing"/>
              <w:rPr>
                <w:rFonts w:ascii="Arial" w:hAnsi="Arial" w:cs="Arial"/>
              </w:rPr>
            </w:pPr>
          </w:p>
          <w:p w14:paraId="0792F5C0" w14:textId="77777777" w:rsidR="009A2C28" w:rsidRPr="00740F13" w:rsidRDefault="009A2C28" w:rsidP="00E13F82">
            <w:pPr>
              <w:pStyle w:val="NoSpacing"/>
              <w:rPr>
                <w:rFonts w:ascii="Arial" w:hAnsi="Arial" w:cs="Arial"/>
              </w:rPr>
            </w:pPr>
            <w:r w:rsidRPr="00740F13">
              <w:rPr>
                <w:rFonts w:ascii="Arial" w:hAnsi="Arial" w:cs="Arial"/>
              </w:rPr>
              <w:t>Under court rules in England and Wales, they can see all the patient’s health records. The solicitor should explain this to the patient.</w:t>
            </w:r>
          </w:p>
          <w:p w14:paraId="2BEA86BE" w14:textId="77777777" w:rsidR="009A2C28" w:rsidRPr="00740F13" w:rsidRDefault="009A2C28" w:rsidP="00E13F82">
            <w:pPr>
              <w:pStyle w:val="NoSpacing"/>
              <w:rPr>
                <w:rFonts w:ascii="Arial" w:hAnsi="Arial" w:cs="Arial"/>
              </w:rPr>
            </w:pPr>
          </w:p>
          <w:p w14:paraId="5F3FDF25" w14:textId="77777777" w:rsidR="009A2C28" w:rsidRPr="00740F13" w:rsidRDefault="009A2C28" w:rsidP="00E13F82">
            <w:pPr>
              <w:pStyle w:val="NoSpacing"/>
              <w:rPr>
                <w:rFonts w:ascii="Arial" w:hAnsi="Arial" w:cs="Arial"/>
                <w:b/>
                <w:bCs/>
              </w:rPr>
            </w:pPr>
            <w:r>
              <w:rPr>
                <w:rFonts w:ascii="Arial" w:hAnsi="Arial" w:cs="Arial"/>
                <w:b/>
                <w:bCs/>
              </w:rPr>
              <w:t>Writing r</w:t>
            </w:r>
            <w:r w:rsidRPr="00740F13">
              <w:rPr>
                <w:rFonts w:ascii="Arial" w:hAnsi="Arial" w:cs="Arial"/>
                <w:b/>
                <w:bCs/>
              </w:rPr>
              <w:t>eports</w:t>
            </w:r>
          </w:p>
          <w:p w14:paraId="30606A28" w14:textId="77777777" w:rsidR="009A2C28" w:rsidRPr="00740F13" w:rsidRDefault="009A2C28" w:rsidP="00E13F82">
            <w:pPr>
              <w:pStyle w:val="NoSpacing"/>
              <w:rPr>
                <w:rFonts w:ascii="Arial" w:hAnsi="Arial" w:cs="Arial"/>
              </w:rPr>
            </w:pPr>
          </w:p>
          <w:p w14:paraId="7DD54097" w14:textId="77777777" w:rsidR="009A2C28" w:rsidRPr="00740F13" w:rsidRDefault="009A2C28" w:rsidP="00E13F82">
            <w:pPr>
              <w:pStyle w:val="NoSpacing"/>
              <w:rPr>
                <w:rFonts w:ascii="Arial" w:hAnsi="Arial" w:cs="Arial"/>
              </w:rPr>
            </w:pPr>
            <w:r w:rsidRPr="00740F13">
              <w:rPr>
                <w:rFonts w:ascii="Arial" w:hAnsi="Arial" w:cs="Arial"/>
              </w:rPr>
              <w:t>When drafting a report</w:t>
            </w:r>
            <w:r>
              <w:rPr>
                <w:rFonts w:ascii="Arial" w:hAnsi="Arial" w:cs="Arial"/>
              </w:rPr>
              <w:t>,</w:t>
            </w:r>
            <w:r w:rsidRPr="00740F13">
              <w:rPr>
                <w:rFonts w:ascii="Arial" w:hAnsi="Arial" w:cs="Arial"/>
              </w:rPr>
              <w:t xml:space="preserve"> </w:t>
            </w:r>
            <w:r>
              <w:rPr>
                <w:rFonts w:ascii="Arial" w:hAnsi="Arial" w:cs="Arial"/>
              </w:rPr>
              <w:t>the organisation</w:t>
            </w:r>
            <w:r w:rsidRPr="00740F13">
              <w:rPr>
                <w:rFonts w:ascii="Arial" w:hAnsi="Arial" w:cs="Arial"/>
              </w:rPr>
              <w:t xml:space="preserve"> must:</w:t>
            </w:r>
          </w:p>
          <w:p w14:paraId="791BECAB" w14:textId="77777777" w:rsidR="009A2C28" w:rsidRPr="00740F13" w:rsidRDefault="009A2C28" w:rsidP="00E13F82">
            <w:pPr>
              <w:pStyle w:val="NoSpacing"/>
              <w:ind w:left="360"/>
              <w:rPr>
                <w:rFonts w:ascii="Arial" w:hAnsi="Arial" w:cs="Arial"/>
              </w:rPr>
            </w:pPr>
          </w:p>
          <w:p w14:paraId="3F535A3A" w14:textId="77777777" w:rsidR="009A2C28" w:rsidRPr="002453EC" w:rsidRDefault="009A2C28" w:rsidP="0058781F">
            <w:pPr>
              <w:pStyle w:val="NoSpacing"/>
              <w:numPr>
                <w:ilvl w:val="0"/>
                <w:numId w:val="25"/>
              </w:numPr>
              <w:rPr>
                <w:rFonts w:ascii="Arial" w:hAnsi="Arial" w:cs="Arial"/>
              </w:rPr>
            </w:pPr>
            <w:r w:rsidRPr="00740F13">
              <w:rPr>
                <w:rFonts w:ascii="Arial" w:hAnsi="Arial" w:cs="Arial"/>
              </w:rPr>
              <w:t>Ensure that it is not false or misleading and reasonable steps should be taken to verify the information in the report which must contain all relevant information</w:t>
            </w:r>
          </w:p>
          <w:p w14:paraId="7BB93184" w14:textId="77777777" w:rsidR="009A2C28" w:rsidRDefault="009A2C28" w:rsidP="00E13F82">
            <w:pPr>
              <w:pStyle w:val="NoSpacing"/>
              <w:rPr>
                <w:rFonts w:ascii="Arial" w:hAnsi="Arial" w:cs="Arial"/>
              </w:rPr>
            </w:pPr>
          </w:p>
          <w:p w14:paraId="0AAD9BFA" w14:textId="77777777" w:rsidR="009A2C28" w:rsidRDefault="009A2C28" w:rsidP="0058781F">
            <w:pPr>
              <w:pStyle w:val="NoSpacing"/>
              <w:numPr>
                <w:ilvl w:val="0"/>
                <w:numId w:val="25"/>
              </w:numPr>
              <w:rPr>
                <w:rFonts w:ascii="Arial" w:hAnsi="Arial" w:cs="Arial"/>
              </w:rPr>
            </w:pPr>
            <w:r w:rsidRPr="00740F13">
              <w:rPr>
                <w:rFonts w:ascii="Arial" w:hAnsi="Arial" w:cs="Arial"/>
              </w:rPr>
              <w:t>Complete and send the report without unreasonable delay</w:t>
            </w:r>
          </w:p>
          <w:p w14:paraId="41458596" w14:textId="77777777" w:rsidR="009A2C28" w:rsidRDefault="009A2C28" w:rsidP="00E13F82">
            <w:pPr>
              <w:pStyle w:val="NoSpacing"/>
              <w:rPr>
                <w:rFonts w:ascii="Arial" w:hAnsi="Arial" w:cs="Arial"/>
              </w:rPr>
            </w:pPr>
          </w:p>
          <w:p w14:paraId="23229513" w14:textId="77777777" w:rsidR="009A2C28" w:rsidRDefault="009A2C28" w:rsidP="0058781F">
            <w:pPr>
              <w:pStyle w:val="NoSpacing"/>
              <w:numPr>
                <w:ilvl w:val="0"/>
                <w:numId w:val="25"/>
              </w:numPr>
              <w:rPr>
                <w:rFonts w:ascii="Arial" w:hAnsi="Arial" w:cs="Arial"/>
              </w:rPr>
            </w:pPr>
            <w:r w:rsidRPr="002453EC">
              <w:rPr>
                <w:rFonts w:ascii="Arial" w:hAnsi="Arial" w:cs="Arial"/>
              </w:rPr>
              <w:lastRenderedPageBreak/>
              <w:t xml:space="preserve">Restrict the report to areas in which </w:t>
            </w:r>
            <w:r>
              <w:rPr>
                <w:rFonts w:ascii="Arial" w:hAnsi="Arial" w:cs="Arial"/>
              </w:rPr>
              <w:t>t</w:t>
            </w:r>
            <w:r w:rsidRPr="0038792E">
              <w:rPr>
                <w:rFonts w:ascii="Arial" w:hAnsi="Arial" w:cs="Arial"/>
              </w:rPr>
              <w:t xml:space="preserve">his organisation </w:t>
            </w:r>
            <w:r w:rsidRPr="002453EC">
              <w:rPr>
                <w:rFonts w:ascii="Arial" w:hAnsi="Arial" w:cs="Arial"/>
              </w:rPr>
              <w:t>ha</w:t>
            </w:r>
            <w:r>
              <w:rPr>
                <w:rFonts w:ascii="Arial" w:hAnsi="Arial" w:cs="Arial"/>
              </w:rPr>
              <w:t>s</w:t>
            </w:r>
            <w:r w:rsidRPr="002453EC">
              <w:rPr>
                <w:rFonts w:ascii="Arial" w:hAnsi="Arial" w:cs="Arial"/>
              </w:rPr>
              <w:t xml:space="preserve"> direct experience or relevant knowledge</w:t>
            </w:r>
          </w:p>
          <w:p w14:paraId="00BDBB9E" w14:textId="77777777" w:rsidR="009A2C28" w:rsidRDefault="009A2C28" w:rsidP="00E13F82">
            <w:pPr>
              <w:pStyle w:val="NoSpacing"/>
              <w:rPr>
                <w:rFonts w:ascii="Arial" w:hAnsi="Arial" w:cs="Arial"/>
              </w:rPr>
            </w:pPr>
          </w:p>
          <w:p w14:paraId="09D35B58" w14:textId="77777777" w:rsidR="009A2C28" w:rsidRPr="002453EC" w:rsidRDefault="009A2C28" w:rsidP="0058781F">
            <w:pPr>
              <w:pStyle w:val="NoSpacing"/>
              <w:numPr>
                <w:ilvl w:val="0"/>
                <w:numId w:val="25"/>
              </w:numPr>
              <w:rPr>
                <w:rFonts w:ascii="Arial" w:hAnsi="Arial" w:cs="Arial"/>
              </w:rPr>
            </w:pPr>
            <w:r>
              <w:rPr>
                <w:rFonts w:ascii="Arial" w:hAnsi="Arial" w:cs="Arial"/>
              </w:rPr>
              <w:t>En</w:t>
            </w:r>
            <w:r w:rsidRPr="002453EC">
              <w:rPr>
                <w:rFonts w:ascii="Arial" w:hAnsi="Arial" w:cs="Arial"/>
              </w:rPr>
              <w:t xml:space="preserve">sure that any opinion </w:t>
            </w:r>
            <w:r>
              <w:rPr>
                <w:rFonts w:ascii="Arial" w:hAnsi="Arial" w:cs="Arial"/>
              </w:rPr>
              <w:t>t</w:t>
            </w:r>
            <w:r w:rsidRPr="0038792E">
              <w:rPr>
                <w:rFonts w:ascii="Arial" w:hAnsi="Arial" w:cs="Arial"/>
              </w:rPr>
              <w:t xml:space="preserve">his organisation </w:t>
            </w:r>
            <w:r w:rsidRPr="002453EC">
              <w:rPr>
                <w:rFonts w:ascii="Arial" w:hAnsi="Arial" w:cs="Arial"/>
              </w:rPr>
              <w:t>include is balanced and include the facts or assumptions on which it is based</w:t>
            </w:r>
          </w:p>
          <w:p w14:paraId="0C63E244" w14:textId="77777777" w:rsidR="009A2C28" w:rsidRDefault="009A2C28" w:rsidP="00E13F82">
            <w:pPr>
              <w:contextualSpacing/>
              <w:rPr>
                <w:rFonts w:ascii="Arial" w:hAnsi="Arial" w:cs="Arial"/>
                <w:sz w:val="22"/>
                <w:szCs w:val="22"/>
              </w:rPr>
            </w:pPr>
          </w:p>
          <w:p w14:paraId="6EEBF885" w14:textId="77777777" w:rsidR="009A2C28" w:rsidRDefault="009A2C28" w:rsidP="00E13F82">
            <w:pPr>
              <w:contextualSpacing/>
              <w:rPr>
                <w:rFonts w:ascii="Arial" w:hAnsi="Arial" w:cs="Arial"/>
                <w:sz w:val="22"/>
                <w:szCs w:val="22"/>
              </w:rPr>
            </w:pPr>
            <w:r w:rsidRPr="00740F13">
              <w:rPr>
                <w:rFonts w:ascii="Arial" w:hAnsi="Arial" w:cs="Arial"/>
                <w:sz w:val="22"/>
                <w:szCs w:val="22"/>
              </w:rPr>
              <w:t xml:space="preserve">If any of the exceptions apply, as much of the report should be disclosed as possible. The Department for Work and Pensions </w:t>
            </w:r>
            <w:r>
              <w:rPr>
                <w:rFonts w:ascii="Arial" w:hAnsi="Arial" w:cs="Arial"/>
                <w:sz w:val="22"/>
                <w:szCs w:val="22"/>
              </w:rPr>
              <w:t xml:space="preserve">guidance titled </w:t>
            </w:r>
            <w:hyperlink r:id="rId28" w:history="1">
              <w:r w:rsidRPr="00740F13">
                <w:rPr>
                  <w:rStyle w:val="Hyperlink"/>
                  <w:rFonts w:ascii="Arial" w:eastAsiaTheme="majorEastAsia" w:hAnsi="Arial" w:cs="Arial"/>
                  <w:sz w:val="22"/>
                  <w:szCs w:val="22"/>
                </w:rPr>
                <w:t xml:space="preserve">DWP </w:t>
              </w:r>
              <w:r>
                <w:rPr>
                  <w:rStyle w:val="Hyperlink"/>
                  <w:rFonts w:ascii="Arial" w:eastAsiaTheme="majorEastAsia" w:hAnsi="Arial" w:cs="Arial"/>
                  <w:sz w:val="22"/>
                  <w:szCs w:val="22"/>
                </w:rPr>
                <w:t>f</w:t>
              </w:r>
              <w:r w:rsidRPr="00740F13">
                <w:rPr>
                  <w:rStyle w:val="Hyperlink"/>
                  <w:rFonts w:ascii="Arial" w:eastAsiaTheme="majorEastAsia" w:hAnsi="Arial" w:cs="Arial"/>
                  <w:sz w:val="22"/>
                  <w:szCs w:val="22"/>
                </w:rPr>
                <w:t xml:space="preserve">actual </w:t>
              </w:r>
              <w:r>
                <w:rPr>
                  <w:rStyle w:val="Hyperlink"/>
                  <w:rFonts w:ascii="Arial" w:eastAsiaTheme="majorEastAsia" w:hAnsi="Arial" w:cs="Arial"/>
                  <w:sz w:val="22"/>
                  <w:szCs w:val="22"/>
                </w:rPr>
                <w:t>m</w:t>
              </w:r>
              <w:r w:rsidRPr="00740F13">
                <w:rPr>
                  <w:rStyle w:val="Hyperlink"/>
                  <w:rFonts w:ascii="Arial" w:eastAsiaTheme="majorEastAsia" w:hAnsi="Arial" w:cs="Arial"/>
                  <w:sz w:val="22"/>
                  <w:szCs w:val="22"/>
                </w:rPr>
                <w:t xml:space="preserve">edical </w:t>
              </w:r>
              <w:r>
                <w:rPr>
                  <w:rStyle w:val="Hyperlink"/>
                  <w:rFonts w:ascii="Arial" w:eastAsiaTheme="majorEastAsia" w:hAnsi="Arial" w:cs="Arial"/>
                  <w:sz w:val="22"/>
                  <w:szCs w:val="22"/>
                </w:rPr>
                <w:t>r</w:t>
              </w:r>
              <w:r w:rsidRPr="00740F13">
                <w:rPr>
                  <w:rStyle w:val="Hyperlink"/>
                  <w:rFonts w:ascii="Arial" w:eastAsiaTheme="majorEastAsia" w:hAnsi="Arial" w:cs="Arial"/>
                  <w:sz w:val="22"/>
                  <w:szCs w:val="22"/>
                </w:rPr>
                <w:t>eports</w:t>
              </w:r>
              <w:r>
                <w:rPr>
                  <w:rStyle w:val="Hyperlink"/>
                  <w:rFonts w:ascii="Arial" w:eastAsiaTheme="majorEastAsia" w:hAnsi="Arial" w:cs="Arial"/>
                  <w:sz w:val="22"/>
                  <w:szCs w:val="22"/>
                </w:rPr>
                <w:t>:</w:t>
              </w:r>
              <w:r>
                <w:rPr>
                  <w:rStyle w:val="Hyperlink"/>
                  <w:rFonts w:eastAsiaTheme="majorEastAsia"/>
                  <w:sz w:val="22"/>
                  <w:szCs w:val="22"/>
                </w:rPr>
                <w:t xml:space="preserve"> </w:t>
              </w:r>
              <w:r>
                <w:rPr>
                  <w:rStyle w:val="Hyperlink"/>
                  <w:rFonts w:ascii="Arial" w:eastAsiaTheme="majorEastAsia" w:hAnsi="Arial" w:cs="Arial"/>
                  <w:sz w:val="22"/>
                  <w:szCs w:val="22"/>
                </w:rPr>
                <w:t>g</w:t>
              </w:r>
              <w:r w:rsidRPr="00740F13">
                <w:rPr>
                  <w:rStyle w:val="Hyperlink"/>
                  <w:rFonts w:ascii="Arial" w:eastAsiaTheme="majorEastAsia" w:hAnsi="Arial" w:cs="Arial"/>
                  <w:sz w:val="22"/>
                  <w:szCs w:val="22"/>
                </w:rPr>
                <w:t xml:space="preserve">uidance for </w:t>
              </w:r>
              <w:r>
                <w:rPr>
                  <w:rStyle w:val="Hyperlink"/>
                  <w:rFonts w:ascii="Arial" w:eastAsiaTheme="majorEastAsia" w:hAnsi="Arial" w:cs="Arial"/>
                  <w:sz w:val="22"/>
                  <w:szCs w:val="22"/>
                </w:rPr>
                <w:t>h</w:t>
              </w:r>
              <w:r w:rsidRPr="00740F13">
                <w:rPr>
                  <w:rStyle w:val="Hyperlink"/>
                  <w:rFonts w:ascii="Arial" w:eastAsiaTheme="majorEastAsia" w:hAnsi="Arial" w:cs="Arial"/>
                  <w:sz w:val="22"/>
                  <w:szCs w:val="22"/>
                </w:rPr>
                <w:t xml:space="preserve">ealthcare </w:t>
              </w:r>
              <w:r>
                <w:rPr>
                  <w:rStyle w:val="Hyperlink"/>
                  <w:rFonts w:ascii="Arial" w:eastAsiaTheme="majorEastAsia" w:hAnsi="Arial" w:cs="Arial"/>
                  <w:sz w:val="22"/>
                  <w:szCs w:val="22"/>
                </w:rPr>
                <w:t>p</w:t>
              </w:r>
              <w:r w:rsidRPr="00740F13">
                <w:rPr>
                  <w:rStyle w:val="Hyperlink"/>
                  <w:rFonts w:ascii="Arial" w:eastAsiaTheme="majorEastAsia" w:hAnsi="Arial" w:cs="Arial"/>
                  <w:sz w:val="22"/>
                  <w:szCs w:val="22"/>
                </w:rPr>
                <w:t>rofessionals</w:t>
              </w:r>
            </w:hyperlink>
            <w:r w:rsidRPr="00740F13">
              <w:rPr>
                <w:rFonts w:ascii="Arial" w:hAnsi="Arial" w:cs="Arial"/>
                <w:sz w:val="22"/>
                <w:szCs w:val="22"/>
              </w:rPr>
              <w:t>.</w:t>
            </w:r>
          </w:p>
          <w:p w14:paraId="6DA9F625" w14:textId="77777777" w:rsidR="009A2C28" w:rsidRPr="00740F13" w:rsidRDefault="009A2C28" w:rsidP="00E13F82">
            <w:pPr>
              <w:pStyle w:val="NoSpacing"/>
              <w:snapToGrid w:val="0"/>
              <w:rPr>
                <w:rFonts w:ascii="Arial" w:hAnsi="Arial" w:cs="Arial"/>
              </w:rPr>
            </w:pPr>
          </w:p>
        </w:tc>
      </w:tr>
      <w:tr w:rsidR="009A2C28" w:rsidRPr="00E13F82" w14:paraId="16780484" w14:textId="77777777" w:rsidTr="00AB58D2">
        <w:tc>
          <w:tcPr>
            <w:tcW w:w="2830" w:type="dxa"/>
          </w:tcPr>
          <w:p w14:paraId="4E49CB12" w14:textId="77777777" w:rsidR="009A2C28" w:rsidRPr="00C131D4" w:rsidRDefault="009A2C28" w:rsidP="00E13F82">
            <w:pPr>
              <w:snapToGrid w:val="0"/>
              <w:rPr>
                <w:rFonts w:ascii="Arial" w:hAnsi="Arial" w:cs="Arial"/>
                <w:sz w:val="22"/>
                <w:szCs w:val="22"/>
              </w:rPr>
            </w:pPr>
            <w:r w:rsidRPr="00C131D4">
              <w:rPr>
                <w:rFonts w:ascii="Arial" w:hAnsi="Arial" w:cs="Arial"/>
                <w:sz w:val="22"/>
                <w:szCs w:val="22"/>
              </w:rPr>
              <w:lastRenderedPageBreak/>
              <w:t>Disclosing information for education and training purposes</w:t>
            </w:r>
          </w:p>
        </w:tc>
        <w:tc>
          <w:tcPr>
            <w:tcW w:w="11199" w:type="dxa"/>
          </w:tcPr>
          <w:p w14:paraId="00004E9B" w14:textId="77777777" w:rsidR="009A2C28" w:rsidRPr="00C131D4" w:rsidRDefault="009A2C28" w:rsidP="00E13F82">
            <w:pPr>
              <w:snapToGrid w:val="0"/>
              <w:rPr>
                <w:rFonts w:ascii="Arial" w:hAnsi="Arial" w:cs="Arial"/>
                <w:sz w:val="22"/>
                <w:szCs w:val="22"/>
              </w:rPr>
            </w:pPr>
            <w:r w:rsidRPr="00C131D4">
              <w:rPr>
                <w:rFonts w:ascii="Arial" w:hAnsi="Arial" w:cs="Arial"/>
                <w:sz w:val="22"/>
                <w:szCs w:val="22"/>
              </w:rPr>
              <w:t xml:space="preserve">The use of information about patients is essential to the education and training of medical and other healthcare students and trainees. For most of these uses, anonymised information will be sufficient and should be used whenever practicable. </w:t>
            </w:r>
          </w:p>
          <w:p w14:paraId="26D4345A" w14:textId="77777777" w:rsidR="009A2C28" w:rsidRPr="00C131D4" w:rsidRDefault="009A2C28" w:rsidP="00E13F82">
            <w:pPr>
              <w:snapToGrid w:val="0"/>
              <w:rPr>
                <w:rFonts w:ascii="Arial" w:hAnsi="Arial" w:cs="Arial"/>
                <w:sz w:val="22"/>
                <w:szCs w:val="22"/>
              </w:rPr>
            </w:pPr>
          </w:p>
          <w:p w14:paraId="35E92256" w14:textId="77777777" w:rsidR="009A2C28" w:rsidRPr="00C131D4" w:rsidRDefault="009A2C28" w:rsidP="00E13F82">
            <w:pPr>
              <w:snapToGrid w:val="0"/>
              <w:rPr>
                <w:rFonts w:ascii="Arial" w:hAnsi="Arial" w:cs="Arial"/>
                <w:sz w:val="22"/>
                <w:szCs w:val="22"/>
              </w:rPr>
            </w:pPr>
            <w:r w:rsidRPr="00C131D4">
              <w:rPr>
                <w:rFonts w:ascii="Arial" w:hAnsi="Arial" w:cs="Arial"/>
                <w:sz w:val="22"/>
                <w:szCs w:val="22"/>
              </w:rPr>
              <w:t xml:space="preserve">When it is necessary to use identifiable information about a patient, or it is not practicable to anonymise information, the organisation should seek the patient’s consent before disclosing it. They should ensure that the patient is under no pressure to consent. </w:t>
            </w:r>
          </w:p>
          <w:p w14:paraId="4BD70300" w14:textId="77777777" w:rsidR="009A2C28" w:rsidRPr="00C131D4" w:rsidRDefault="009A2C28" w:rsidP="00E13F82">
            <w:pPr>
              <w:snapToGrid w:val="0"/>
              <w:rPr>
                <w:rFonts w:ascii="Arial" w:hAnsi="Arial" w:cs="Arial"/>
                <w:sz w:val="22"/>
                <w:szCs w:val="22"/>
              </w:rPr>
            </w:pPr>
          </w:p>
          <w:p w14:paraId="129AF4F7" w14:textId="77777777" w:rsidR="009A2C28" w:rsidRPr="00C131D4" w:rsidRDefault="009A2C28" w:rsidP="00E13F82">
            <w:pPr>
              <w:snapToGrid w:val="0"/>
              <w:rPr>
                <w:rFonts w:ascii="Arial" w:hAnsi="Arial" w:cs="Arial"/>
                <w:sz w:val="22"/>
                <w:szCs w:val="22"/>
              </w:rPr>
            </w:pPr>
            <w:r w:rsidRPr="00C131D4">
              <w:rPr>
                <w:rFonts w:ascii="Arial" w:hAnsi="Arial" w:cs="Arial"/>
                <w:sz w:val="22"/>
                <w:szCs w:val="22"/>
              </w:rPr>
              <w:t>Any impression that their care depends on giving consent should be avoided.</w:t>
            </w:r>
          </w:p>
          <w:p w14:paraId="5DB452AA" w14:textId="77777777" w:rsidR="009A2C28" w:rsidRPr="00C131D4" w:rsidRDefault="009A2C28" w:rsidP="00E13F82">
            <w:pPr>
              <w:snapToGrid w:val="0"/>
              <w:rPr>
                <w:rFonts w:ascii="Arial" w:hAnsi="Arial" w:cs="Arial"/>
                <w:sz w:val="22"/>
                <w:szCs w:val="22"/>
              </w:rPr>
            </w:pPr>
          </w:p>
          <w:p w14:paraId="69D420AB" w14:textId="77777777" w:rsidR="009A2C28" w:rsidRPr="00AB58D2" w:rsidRDefault="009A2C28" w:rsidP="00AB58D2">
            <w:pPr>
              <w:snapToGrid w:val="0"/>
              <w:rPr>
                <w:rFonts w:ascii="Arial" w:hAnsi="Arial" w:cs="Arial"/>
                <w:b/>
                <w:bCs/>
                <w:sz w:val="22"/>
                <w:szCs w:val="22"/>
              </w:rPr>
            </w:pPr>
            <w:r w:rsidRPr="00AB58D2">
              <w:rPr>
                <w:rFonts w:ascii="Arial" w:hAnsi="Arial" w:cs="Arial"/>
                <w:b/>
                <w:bCs/>
                <w:sz w:val="22"/>
                <w:szCs w:val="22"/>
              </w:rPr>
              <w:t>Publishing case studies</w:t>
            </w:r>
          </w:p>
          <w:p w14:paraId="09F622F5" w14:textId="77777777" w:rsidR="009A2C28" w:rsidRPr="00C131D4" w:rsidRDefault="009A2C28" w:rsidP="00E13F82">
            <w:pPr>
              <w:snapToGrid w:val="0"/>
              <w:ind w:left="360"/>
              <w:rPr>
                <w:rFonts w:ascii="Arial" w:hAnsi="Arial" w:cs="Arial"/>
                <w:sz w:val="22"/>
                <w:szCs w:val="22"/>
              </w:rPr>
            </w:pPr>
          </w:p>
          <w:p w14:paraId="42A7B485" w14:textId="77777777" w:rsidR="009A2C28" w:rsidRPr="00C131D4" w:rsidRDefault="009A2C28" w:rsidP="00AB58D2">
            <w:pPr>
              <w:snapToGrid w:val="0"/>
              <w:rPr>
                <w:rFonts w:ascii="Arial" w:hAnsi="Arial" w:cs="Arial"/>
                <w:sz w:val="22"/>
                <w:szCs w:val="22"/>
              </w:rPr>
            </w:pPr>
            <w:r w:rsidRPr="00C131D4">
              <w:rPr>
                <w:rFonts w:ascii="Arial" w:hAnsi="Arial" w:cs="Arial"/>
                <w:sz w:val="22"/>
                <w:szCs w:val="22"/>
              </w:rPr>
              <w:t xml:space="preserve">It may be difficult to anonymise case studies about patients while retaining enough detail to make publication useful. Simply changing a patient’s name will often not anonymise the information if other identifying details are included such as age, sex, location or a detailed account of the patient’s illness and treatment. </w:t>
            </w:r>
          </w:p>
          <w:p w14:paraId="36C52FE7" w14:textId="77777777" w:rsidR="009A2C28" w:rsidRPr="00C131D4" w:rsidRDefault="009A2C28" w:rsidP="00E13F82">
            <w:pPr>
              <w:snapToGrid w:val="0"/>
              <w:ind w:left="360"/>
              <w:rPr>
                <w:rFonts w:ascii="Arial" w:hAnsi="Arial" w:cs="Arial"/>
                <w:sz w:val="22"/>
                <w:szCs w:val="22"/>
              </w:rPr>
            </w:pPr>
          </w:p>
          <w:p w14:paraId="45CB85BD" w14:textId="77777777" w:rsidR="009A2C28" w:rsidRPr="00C131D4" w:rsidRDefault="009A2C28" w:rsidP="00AB58D2">
            <w:pPr>
              <w:snapToGrid w:val="0"/>
              <w:rPr>
                <w:rFonts w:ascii="Arial" w:hAnsi="Arial" w:cs="Arial"/>
                <w:sz w:val="22"/>
                <w:szCs w:val="22"/>
              </w:rPr>
            </w:pPr>
            <w:r w:rsidRPr="00C131D4">
              <w:rPr>
                <w:rFonts w:ascii="Arial" w:hAnsi="Arial" w:cs="Arial"/>
                <w:sz w:val="22"/>
                <w:szCs w:val="22"/>
              </w:rPr>
              <w:t>If the information cannot be anonymised, the patient’s consent should be obtained before disclosure. When seeking the patient’s consent, the organisation must provide them with enough information about the nature and purpose of the disclosure to enable them to make an informed decision. This should include a description of the information to be disclosed and an indication of how it will be used, for example, whether it will be published in a journal or shown at a medical conference.</w:t>
            </w:r>
          </w:p>
          <w:p w14:paraId="2BD66ED1" w14:textId="77777777" w:rsidR="009A2C28" w:rsidRPr="00C131D4" w:rsidRDefault="009A2C28" w:rsidP="00E13F82">
            <w:pPr>
              <w:snapToGrid w:val="0"/>
              <w:ind w:left="360"/>
              <w:rPr>
                <w:rFonts w:ascii="Arial" w:hAnsi="Arial" w:cs="Arial"/>
                <w:sz w:val="22"/>
                <w:szCs w:val="22"/>
              </w:rPr>
            </w:pPr>
          </w:p>
          <w:p w14:paraId="5C660285" w14:textId="77777777" w:rsidR="009A2C28" w:rsidRPr="00C131D4" w:rsidRDefault="009A2C28" w:rsidP="00AB58D2">
            <w:pPr>
              <w:snapToGrid w:val="0"/>
              <w:rPr>
                <w:rFonts w:ascii="Arial" w:hAnsi="Arial" w:cs="Arial"/>
                <w:sz w:val="22"/>
                <w:szCs w:val="22"/>
              </w:rPr>
            </w:pPr>
            <w:r w:rsidRPr="00C131D4">
              <w:rPr>
                <w:rFonts w:ascii="Arial" w:hAnsi="Arial" w:cs="Arial"/>
                <w:sz w:val="22"/>
                <w:szCs w:val="22"/>
              </w:rPr>
              <w:t>This organisation must then disclose that information only for the purposes for which the patient has given consent. If for any reason the organisation cannot obtain a patient’s consent, they will need to consider whether publication can be justified in the public interest.</w:t>
            </w:r>
          </w:p>
          <w:p w14:paraId="507B83CE" w14:textId="77777777" w:rsidR="009A2C28" w:rsidRPr="00C131D4" w:rsidRDefault="009A2C28" w:rsidP="00E13F82">
            <w:pPr>
              <w:snapToGrid w:val="0"/>
              <w:ind w:left="360"/>
              <w:rPr>
                <w:rFonts w:ascii="Arial" w:hAnsi="Arial" w:cs="Arial"/>
                <w:sz w:val="22"/>
                <w:szCs w:val="22"/>
              </w:rPr>
            </w:pPr>
          </w:p>
          <w:p w14:paraId="2D7C475C" w14:textId="77777777" w:rsidR="009A2C28" w:rsidRPr="00C131D4" w:rsidRDefault="009A2C28" w:rsidP="00AB58D2">
            <w:pPr>
              <w:snapToGrid w:val="0"/>
              <w:rPr>
                <w:rFonts w:ascii="Arial" w:hAnsi="Arial" w:cs="Arial"/>
                <w:sz w:val="22"/>
                <w:szCs w:val="22"/>
              </w:rPr>
            </w:pPr>
            <w:r w:rsidRPr="00C131D4">
              <w:rPr>
                <w:rFonts w:ascii="Arial" w:hAnsi="Arial" w:cs="Arial"/>
                <w:sz w:val="22"/>
                <w:szCs w:val="22"/>
              </w:rPr>
              <w:lastRenderedPageBreak/>
              <w:t>This organisation should respect a patient’s refusal to consent to the publication of their identifiable information.</w:t>
            </w:r>
          </w:p>
          <w:p w14:paraId="13CA5FE1" w14:textId="77777777" w:rsidR="009A2C28" w:rsidRPr="00C131D4" w:rsidRDefault="009A2C28" w:rsidP="00E13F82">
            <w:pPr>
              <w:snapToGrid w:val="0"/>
              <w:rPr>
                <w:rFonts w:ascii="Arial" w:hAnsi="Arial" w:cs="Arial"/>
                <w:sz w:val="22"/>
                <w:szCs w:val="22"/>
              </w:rPr>
            </w:pPr>
          </w:p>
          <w:p w14:paraId="55CCEAD7" w14:textId="77777777" w:rsidR="009A2C28" w:rsidRPr="00AB58D2" w:rsidRDefault="009A2C28" w:rsidP="00AB58D2">
            <w:pPr>
              <w:snapToGrid w:val="0"/>
              <w:rPr>
                <w:rFonts w:ascii="Arial" w:hAnsi="Arial" w:cs="Arial"/>
                <w:b/>
                <w:bCs/>
                <w:sz w:val="22"/>
                <w:szCs w:val="22"/>
              </w:rPr>
            </w:pPr>
            <w:r w:rsidRPr="00AB58D2">
              <w:rPr>
                <w:rFonts w:ascii="Arial" w:hAnsi="Arial" w:cs="Arial"/>
                <w:b/>
                <w:bCs/>
                <w:sz w:val="22"/>
                <w:szCs w:val="22"/>
              </w:rPr>
              <w:t>Patients who lack capacity</w:t>
            </w:r>
          </w:p>
          <w:p w14:paraId="315A2B79" w14:textId="77777777" w:rsidR="009A2C28" w:rsidRPr="00C131D4" w:rsidRDefault="009A2C28" w:rsidP="00E13F82">
            <w:pPr>
              <w:snapToGrid w:val="0"/>
              <w:ind w:left="360"/>
              <w:rPr>
                <w:rFonts w:ascii="Arial" w:hAnsi="Arial" w:cs="Arial"/>
                <w:sz w:val="22"/>
                <w:szCs w:val="22"/>
              </w:rPr>
            </w:pPr>
          </w:p>
          <w:p w14:paraId="6B4293FA" w14:textId="77777777" w:rsidR="009A2C28" w:rsidRPr="00C131D4" w:rsidRDefault="009A2C28" w:rsidP="00AB58D2">
            <w:pPr>
              <w:snapToGrid w:val="0"/>
              <w:rPr>
                <w:rFonts w:ascii="Arial" w:hAnsi="Arial" w:cs="Arial"/>
                <w:sz w:val="22"/>
                <w:szCs w:val="22"/>
              </w:rPr>
            </w:pPr>
            <w:r w:rsidRPr="00C131D4">
              <w:rPr>
                <w:rFonts w:ascii="Arial" w:hAnsi="Arial" w:cs="Arial"/>
                <w:sz w:val="22"/>
                <w:szCs w:val="22"/>
              </w:rPr>
              <w:t xml:space="preserve">This organisation should not disclose personal information for education and training purposes about patients who lack capacity if they can practicably use information about other patients instead. </w:t>
            </w:r>
          </w:p>
          <w:p w14:paraId="7433C18C" w14:textId="77777777" w:rsidR="009A2C28" w:rsidRPr="00C131D4" w:rsidRDefault="009A2C28" w:rsidP="00E13F82">
            <w:pPr>
              <w:snapToGrid w:val="0"/>
              <w:ind w:left="360"/>
              <w:rPr>
                <w:rFonts w:ascii="Arial" w:hAnsi="Arial" w:cs="Arial"/>
                <w:sz w:val="22"/>
                <w:szCs w:val="22"/>
              </w:rPr>
            </w:pPr>
          </w:p>
          <w:p w14:paraId="00950F13" w14:textId="77777777" w:rsidR="009A2C28" w:rsidRPr="00C131D4" w:rsidRDefault="009A2C28" w:rsidP="00AB58D2">
            <w:pPr>
              <w:snapToGrid w:val="0"/>
              <w:rPr>
                <w:rFonts w:ascii="Arial" w:hAnsi="Arial" w:cs="Arial"/>
                <w:sz w:val="22"/>
                <w:szCs w:val="22"/>
              </w:rPr>
            </w:pPr>
            <w:r w:rsidRPr="00C131D4">
              <w:rPr>
                <w:rFonts w:ascii="Arial" w:hAnsi="Arial" w:cs="Arial"/>
                <w:sz w:val="22"/>
                <w:szCs w:val="22"/>
              </w:rPr>
              <w:t>If this organisation wishes to disclose personal information about a patient who lacks capacity but who is likely to regain capacity, they should, if practicable, wait and seek their consent later. The organisation may disclose personal information about a patient who lacks capacity to consent if disclosure will benefit or is in the best interests of the patient, or if it is justified in the public interest.</w:t>
            </w:r>
          </w:p>
          <w:p w14:paraId="716FFF13" w14:textId="77777777" w:rsidR="009A2C28" w:rsidRPr="00C131D4" w:rsidRDefault="009A2C28" w:rsidP="00E13F82">
            <w:pPr>
              <w:snapToGrid w:val="0"/>
              <w:ind w:left="360"/>
              <w:rPr>
                <w:rFonts w:ascii="Arial" w:hAnsi="Arial" w:cs="Arial"/>
                <w:sz w:val="22"/>
                <w:szCs w:val="22"/>
              </w:rPr>
            </w:pPr>
          </w:p>
          <w:p w14:paraId="70997E6D" w14:textId="77777777" w:rsidR="009A2C28" w:rsidRDefault="009A2C28" w:rsidP="00216989">
            <w:pPr>
              <w:snapToGrid w:val="0"/>
              <w:rPr>
                <w:rFonts w:ascii="Arial" w:hAnsi="Arial" w:cs="Arial"/>
                <w:sz w:val="22"/>
                <w:szCs w:val="22"/>
              </w:rPr>
            </w:pPr>
            <w:r w:rsidRPr="00C131D4">
              <w:rPr>
                <w:rFonts w:ascii="Arial" w:hAnsi="Arial" w:cs="Arial"/>
                <w:sz w:val="22"/>
                <w:szCs w:val="22"/>
              </w:rPr>
              <w:t>In the absence of any indication about the preferences of a patient who lacks capacity:</w:t>
            </w:r>
          </w:p>
          <w:p w14:paraId="79649D4A" w14:textId="77777777" w:rsidR="00216989" w:rsidRPr="00C131D4" w:rsidRDefault="00216989" w:rsidP="00AB58D2">
            <w:pPr>
              <w:snapToGrid w:val="0"/>
              <w:rPr>
                <w:rFonts w:ascii="Arial" w:hAnsi="Arial" w:cs="Arial"/>
                <w:sz w:val="22"/>
                <w:szCs w:val="22"/>
              </w:rPr>
            </w:pPr>
          </w:p>
          <w:p w14:paraId="4B941103" w14:textId="77777777" w:rsidR="009A2C28" w:rsidRPr="00AB58D2" w:rsidRDefault="009A2C28" w:rsidP="0058781F">
            <w:pPr>
              <w:pStyle w:val="ListParagraph"/>
              <w:numPr>
                <w:ilvl w:val="0"/>
                <w:numId w:val="26"/>
              </w:numPr>
              <w:snapToGrid w:val="0"/>
              <w:rPr>
                <w:rFonts w:ascii="Arial" w:hAnsi="Arial" w:cs="Arial"/>
                <w:sz w:val="22"/>
                <w:szCs w:val="22"/>
              </w:rPr>
            </w:pPr>
            <w:r w:rsidRPr="00AB58D2">
              <w:rPr>
                <w:rFonts w:ascii="Arial" w:hAnsi="Arial" w:cs="Arial"/>
                <w:sz w:val="22"/>
                <w:szCs w:val="22"/>
              </w:rPr>
              <w:t>Information should not be published from which they can be identified, but</w:t>
            </w:r>
          </w:p>
          <w:p w14:paraId="0A5D6BD9" w14:textId="77777777" w:rsidR="009A2C28" w:rsidRPr="00E13F82" w:rsidRDefault="009A2C28" w:rsidP="00216989">
            <w:pPr>
              <w:pStyle w:val="ListParagraph"/>
              <w:snapToGrid w:val="0"/>
              <w:ind w:left="0"/>
              <w:contextualSpacing w:val="0"/>
              <w:rPr>
                <w:rFonts w:ascii="Arial" w:hAnsi="Arial" w:cs="Arial"/>
                <w:sz w:val="22"/>
                <w:szCs w:val="22"/>
              </w:rPr>
            </w:pPr>
          </w:p>
          <w:p w14:paraId="3CFF0972" w14:textId="77777777" w:rsidR="009A2C28" w:rsidRPr="00AB58D2" w:rsidRDefault="009A2C28" w:rsidP="0058781F">
            <w:pPr>
              <w:pStyle w:val="ListParagraph"/>
              <w:numPr>
                <w:ilvl w:val="0"/>
                <w:numId w:val="26"/>
              </w:numPr>
              <w:snapToGrid w:val="0"/>
              <w:rPr>
                <w:rFonts w:ascii="Arial" w:hAnsi="Arial" w:cs="Arial"/>
                <w:sz w:val="22"/>
                <w:szCs w:val="22"/>
              </w:rPr>
            </w:pPr>
            <w:r w:rsidRPr="00AB58D2">
              <w:rPr>
                <w:rFonts w:ascii="Arial" w:hAnsi="Arial" w:cs="Arial"/>
                <w:sz w:val="22"/>
                <w:szCs w:val="22"/>
              </w:rPr>
              <w:t>Disclosure of personal information to medical and other healthcare students and trainees to the extent necessary for their education and training may be undertaken.</w:t>
            </w:r>
          </w:p>
          <w:p w14:paraId="1F1A3B4C" w14:textId="77777777" w:rsidR="009A2C28" w:rsidRPr="00C131D4" w:rsidRDefault="009A2C28" w:rsidP="00E13F82">
            <w:pPr>
              <w:snapToGrid w:val="0"/>
              <w:rPr>
                <w:rFonts w:ascii="Arial" w:hAnsi="Arial" w:cs="Arial"/>
                <w:sz w:val="22"/>
                <w:szCs w:val="22"/>
              </w:rPr>
            </w:pPr>
          </w:p>
          <w:p w14:paraId="4C61A721" w14:textId="77777777" w:rsidR="009A2C28" w:rsidRPr="00C131D4" w:rsidRDefault="009A2C28" w:rsidP="00AB58D2">
            <w:pPr>
              <w:snapToGrid w:val="0"/>
              <w:rPr>
                <w:rFonts w:ascii="Arial" w:hAnsi="Arial" w:cs="Arial"/>
                <w:sz w:val="22"/>
                <w:szCs w:val="22"/>
              </w:rPr>
            </w:pPr>
            <w:r w:rsidRPr="00C131D4">
              <w:rPr>
                <w:rFonts w:ascii="Arial" w:hAnsi="Arial" w:cs="Arial"/>
                <w:sz w:val="22"/>
                <w:szCs w:val="22"/>
              </w:rPr>
              <w:t>This organisation should consider whether the work needed to anonymise or code the information or to seek patients’ consent is reasonably practicable in all the circumstances. Only if unreasonable effort is required should it be considered whether the disclosure of identifiable information is justified in the public interest.</w:t>
            </w:r>
          </w:p>
          <w:p w14:paraId="595572A1" w14:textId="77777777" w:rsidR="009A2C28" w:rsidRPr="00C131D4" w:rsidRDefault="009A2C28" w:rsidP="00E13F82">
            <w:pPr>
              <w:snapToGrid w:val="0"/>
              <w:ind w:left="576"/>
              <w:rPr>
                <w:rFonts w:ascii="Arial" w:hAnsi="Arial" w:cs="Arial"/>
                <w:sz w:val="22"/>
                <w:szCs w:val="22"/>
              </w:rPr>
            </w:pPr>
          </w:p>
          <w:p w14:paraId="3E1B7BEE" w14:textId="77777777" w:rsidR="009A2C28" w:rsidRPr="00C131D4" w:rsidRDefault="009A2C28" w:rsidP="00AB58D2">
            <w:pPr>
              <w:snapToGrid w:val="0"/>
              <w:rPr>
                <w:rFonts w:ascii="Arial" w:hAnsi="Arial" w:cs="Arial"/>
                <w:sz w:val="22"/>
                <w:szCs w:val="22"/>
              </w:rPr>
            </w:pPr>
            <w:r w:rsidRPr="00C131D4">
              <w:rPr>
                <w:rFonts w:ascii="Arial" w:hAnsi="Arial" w:cs="Arial"/>
                <w:sz w:val="22"/>
                <w:szCs w:val="22"/>
              </w:rPr>
              <w:t>If it is not practicable to anonymise or code the information or to seek or obtain patients’ consent without unreasonable effort, and the likelihood of distress or harm to patients is negligible, disclosure for an important secondary purpose may be proportionate. This organisation should respect patients’ objections to disclosure.</w:t>
            </w:r>
          </w:p>
          <w:p w14:paraId="3F6E3373" w14:textId="77777777" w:rsidR="009A2C28" w:rsidRPr="00C131D4" w:rsidRDefault="009A2C28" w:rsidP="00E13F82">
            <w:pPr>
              <w:snapToGrid w:val="0"/>
              <w:ind w:left="576"/>
              <w:rPr>
                <w:rFonts w:ascii="Arial" w:hAnsi="Arial" w:cs="Arial"/>
                <w:sz w:val="22"/>
                <w:szCs w:val="22"/>
              </w:rPr>
            </w:pPr>
          </w:p>
          <w:p w14:paraId="01B8A264" w14:textId="2AC560FA" w:rsidR="009A2C28" w:rsidRDefault="009A2C28" w:rsidP="00E13F82">
            <w:pPr>
              <w:pStyle w:val="NoSpacing"/>
              <w:snapToGrid w:val="0"/>
              <w:rPr>
                <w:rFonts w:ascii="Arial" w:hAnsi="Arial" w:cs="Arial"/>
              </w:rPr>
            </w:pPr>
            <w:r w:rsidRPr="00C131D4">
              <w:rPr>
                <w:rFonts w:ascii="Arial" w:hAnsi="Arial" w:cs="Arial"/>
              </w:rPr>
              <w:t>In this context ‘trainees’ refers to registered medical practitioners in training grades while ‘students’ refers to undergraduates pursuing a medical degree. This organisation must give patients the information they want or need about the extent to which students may be involved in their care and of their right to refuse to take part in teaching</w:t>
            </w:r>
            <w:r w:rsidR="00216989">
              <w:rPr>
                <w:rFonts w:ascii="Arial" w:hAnsi="Arial" w:cs="Arial"/>
              </w:rPr>
              <w:t>.</w:t>
            </w:r>
          </w:p>
          <w:p w14:paraId="233A811D" w14:textId="77777777" w:rsidR="009A2C28" w:rsidRPr="00C131D4" w:rsidRDefault="009A2C28" w:rsidP="00E13F82">
            <w:pPr>
              <w:pStyle w:val="NoSpacing"/>
              <w:snapToGrid w:val="0"/>
              <w:rPr>
                <w:rFonts w:ascii="Arial" w:hAnsi="Arial" w:cs="Arial"/>
              </w:rPr>
            </w:pPr>
          </w:p>
        </w:tc>
      </w:tr>
      <w:tr w:rsidR="009A2C28" w:rsidRPr="002C2CC0" w14:paraId="1B6CFD92" w14:textId="77777777" w:rsidTr="009A2C28">
        <w:tc>
          <w:tcPr>
            <w:tcW w:w="2830" w:type="dxa"/>
          </w:tcPr>
          <w:p w14:paraId="1551F14E" w14:textId="77777777" w:rsidR="009A2C28" w:rsidRPr="002C2CC0" w:rsidRDefault="009A2C28" w:rsidP="00E13F82">
            <w:pPr>
              <w:snapToGrid w:val="0"/>
              <w:rPr>
                <w:rFonts w:ascii="Arial" w:hAnsi="Arial" w:cs="Arial"/>
                <w:sz w:val="22"/>
                <w:szCs w:val="22"/>
              </w:rPr>
            </w:pPr>
            <w:r>
              <w:rPr>
                <w:rFonts w:ascii="Arial" w:hAnsi="Arial" w:cs="Arial"/>
                <w:sz w:val="22"/>
                <w:szCs w:val="22"/>
              </w:rPr>
              <w:lastRenderedPageBreak/>
              <w:t>Responding to the press</w:t>
            </w:r>
          </w:p>
        </w:tc>
        <w:tc>
          <w:tcPr>
            <w:tcW w:w="11199" w:type="dxa"/>
          </w:tcPr>
          <w:p w14:paraId="03A2FD67" w14:textId="77777777" w:rsidR="009A2C28" w:rsidRDefault="009A2C28" w:rsidP="00E13F82">
            <w:pPr>
              <w:pStyle w:val="NoSpacing"/>
              <w:rPr>
                <w:rFonts w:ascii="Arial" w:hAnsi="Arial" w:cs="Arial"/>
              </w:rPr>
            </w:pPr>
            <w:r w:rsidRPr="00740F13">
              <w:rPr>
                <w:rFonts w:ascii="Arial" w:hAnsi="Arial" w:cs="Arial"/>
              </w:rPr>
              <w:t xml:space="preserve">Clinicians are sometimes criticised in the press by their patients or by someone their patients have a close personal relationship with. The criticism can include inaccurate or misleading details of the clinician’s diagnosis, </w:t>
            </w:r>
            <w:r w:rsidRPr="00740F13">
              <w:rPr>
                <w:rFonts w:ascii="Arial" w:hAnsi="Arial" w:cs="Arial"/>
              </w:rPr>
              <w:lastRenderedPageBreak/>
              <w:t xml:space="preserve">treatment or behaviour. Although this can be frustrating or distressing, it does not relieve </w:t>
            </w:r>
            <w:r>
              <w:rPr>
                <w:rFonts w:ascii="Arial" w:hAnsi="Arial" w:cs="Arial"/>
              </w:rPr>
              <w:t>this practice</w:t>
            </w:r>
            <w:r w:rsidRPr="00740F13">
              <w:rPr>
                <w:rFonts w:ascii="Arial" w:hAnsi="Arial" w:cs="Arial"/>
              </w:rPr>
              <w:t xml:space="preserve"> of their duty to respect patients’ confidentiality. </w:t>
            </w:r>
          </w:p>
          <w:p w14:paraId="1EE01783" w14:textId="77777777" w:rsidR="009A2C28" w:rsidRDefault="009A2C28" w:rsidP="00E13F82">
            <w:pPr>
              <w:pStyle w:val="NoSpacing"/>
              <w:rPr>
                <w:rFonts w:ascii="Arial" w:hAnsi="Arial" w:cs="Arial"/>
              </w:rPr>
            </w:pPr>
          </w:p>
          <w:p w14:paraId="15F2ADD2" w14:textId="77777777" w:rsidR="009A2C28" w:rsidRPr="00740F13" w:rsidRDefault="009A2C28" w:rsidP="00E13F82">
            <w:pPr>
              <w:pStyle w:val="NoSpacing"/>
              <w:rPr>
                <w:rFonts w:ascii="Arial" w:hAnsi="Arial" w:cs="Arial"/>
              </w:rPr>
            </w:pPr>
            <w:r w:rsidRPr="00740F13">
              <w:rPr>
                <w:rFonts w:ascii="Arial" w:hAnsi="Arial" w:cs="Arial"/>
              </w:rPr>
              <w:t xml:space="preserve">Disclosures of patient information without consent can undermine the public’s trust in the profession as well as patients’ trust. </w:t>
            </w:r>
            <w:r>
              <w:rPr>
                <w:rFonts w:ascii="Arial" w:hAnsi="Arial" w:cs="Arial"/>
              </w:rPr>
              <w:t>T</w:t>
            </w:r>
            <w:r w:rsidRPr="0038792E">
              <w:rPr>
                <w:rFonts w:ascii="Arial" w:hAnsi="Arial" w:cs="Arial"/>
              </w:rPr>
              <w:t xml:space="preserve">his organisation </w:t>
            </w:r>
            <w:r w:rsidRPr="00740F13">
              <w:rPr>
                <w:rFonts w:ascii="Arial" w:hAnsi="Arial" w:cs="Arial"/>
              </w:rPr>
              <w:t>must not put information obtained in confidence about a patient in the public domain without that patient’s express consent.</w:t>
            </w:r>
          </w:p>
          <w:p w14:paraId="1A0311BB" w14:textId="77777777" w:rsidR="009A2C28" w:rsidRPr="00740F13" w:rsidRDefault="009A2C28" w:rsidP="00E13F82">
            <w:pPr>
              <w:pStyle w:val="NoSpacing"/>
              <w:rPr>
                <w:rFonts w:ascii="Arial" w:hAnsi="Arial" w:cs="Arial"/>
              </w:rPr>
            </w:pPr>
          </w:p>
          <w:p w14:paraId="02CBEE81" w14:textId="77777777" w:rsidR="009A2C28" w:rsidRPr="00740F13" w:rsidRDefault="009A2C28" w:rsidP="00E13F82">
            <w:pPr>
              <w:pStyle w:val="NoSpacing"/>
              <w:rPr>
                <w:rFonts w:ascii="Arial" w:hAnsi="Arial" w:cs="Arial"/>
              </w:rPr>
            </w:pPr>
            <w:r w:rsidRPr="00740F13">
              <w:rPr>
                <w:rFonts w:ascii="Arial" w:hAnsi="Arial" w:cs="Arial"/>
              </w:rPr>
              <w:t xml:space="preserve">Disputes between patients and clinicians conducted in the media often serve no practical purpose; they can prolong or intensify conflict and may undermine public confidence in the profession, even if they do not involve the disclosure of personal information without consent. </w:t>
            </w:r>
            <w:r>
              <w:rPr>
                <w:rFonts w:ascii="Arial" w:hAnsi="Arial" w:cs="Arial"/>
              </w:rPr>
              <w:t>T</w:t>
            </w:r>
            <w:r w:rsidRPr="0038792E">
              <w:rPr>
                <w:rFonts w:ascii="Arial" w:hAnsi="Arial" w:cs="Arial"/>
              </w:rPr>
              <w:t xml:space="preserve">his organisation </w:t>
            </w:r>
            <w:r w:rsidRPr="00740F13">
              <w:rPr>
                <w:rFonts w:ascii="Arial" w:hAnsi="Arial" w:cs="Arial"/>
              </w:rPr>
              <w:t>should usually limit public response to press reports to an explanation of the legal and professional duty of confidentiality.</w:t>
            </w:r>
          </w:p>
          <w:p w14:paraId="64898DD9" w14:textId="77777777" w:rsidR="009A2C28" w:rsidRPr="00740F13" w:rsidRDefault="009A2C28" w:rsidP="00E13F82">
            <w:pPr>
              <w:pStyle w:val="NoSpacing"/>
              <w:rPr>
                <w:rFonts w:ascii="Arial" w:hAnsi="Arial" w:cs="Arial"/>
              </w:rPr>
            </w:pPr>
          </w:p>
          <w:p w14:paraId="0C13A683" w14:textId="77777777" w:rsidR="009A2C28" w:rsidRPr="00740F13" w:rsidRDefault="009A2C28" w:rsidP="00E13F82">
            <w:pPr>
              <w:pStyle w:val="NoSpacing"/>
              <w:rPr>
                <w:rFonts w:ascii="Arial" w:hAnsi="Arial" w:cs="Arial"/>
              </w:rPr>
            </w:pPr>
            <w:r w:rsidRPr="00740F13">
              <w:rPr>
                <w:rFonts w:ascii="Arial" w:hAnsi="Arial" w:cs="Arial"/>
              </w:rPr>
              <w:t>In certain circumstances</w:t>
            </w:r>
            <w:r>
              <w:rPr>
                <w:rFonts w:ascii="Arial" w:hAnsi="Arial" w:cs="Arial"/>
              </w:rPr>
              <w:t>,</w:t>
            </w:r>
            <w:r w:rsidRPr="00740F13">
              <w:rPr>
                <w:rFonts w:ascii="Arial" w:hAnsi="Arial" w:cs="Arial"/>
              </w:rPr>
              <w:t xml:space="preserve"> press reports might cause patients to be concerned about </w:t>
            </w:r>
            <w:r w:rsidRPr="00E13F82">
              <w:rPr>
                <w:rFonts w:ascii="Arial" w:hAnsi="Arial" w:cs="Arial"/>
              </w:rPr>
              <w:t>this organisation</w:t>
            </w:r>
            <w:r w:rsidRPr="00F73EE8">
              <w:rPr>
                <w:rFonts w:ascii="Arial" w:hAnsi="Arial" w:cs="Arial"/>
              </w:rPr>
              <w:t>. In such</w:t>
            </w:r>
            <w:r w:rsidRPr="00740F13">
              <w:rPr>
                <w:rFonts w:ascii="Arial" w:hAnsi="Arial" w:cs="Arial"/>
              </w:rPr>
              <w:t xml:space="preserve"> cases it may be appropriate to give general information about normal practice. No personal information about a patient should be revealed, or an account of their care given, without their consent.</w:t>
            </w:r>
          </w:p>
          <w:p w14:paraId="68E7B08D" w14:textId="77777777" w:rsidR="009A2C28" w:rsidRPr="00740F13" w:rsidRDefault="009A2C28" w:rsidP="00E13F82">
            <w:pPr>
              <w:pStyle w:val="NoSpacing"/>
              <w:snapToGrid w:val="0"/>
              <w:rPr>
                <w:rFonts w:ascii="Arial" w:hAnsi="Arial" w:cs="Arial"/>
              </w:rPr>
            </w:pPr>
          </w:p>
        </w:tc>
      </w:tr>
    </w:tbl>
    <w:p w14:paraId="319E469B" w14:textId="1D9FC751" w:rsidR="00D85E4D" w:rsidRDefault="00D85E4D" w:rsidP="001D07EB">
      <w:pPr>
        <w:pStyle w:val="Heading1"/>
        <w:keepLines/>
        <w:numPr>
          <w:ilvl w:val="0"/>
          <w:numId w:val="0"/>
        </w:numPr>
        <w:pBdr>
          <w:bottom w:val="single" w:sz="4" w:space="1" w:color="595959" w:themeColor="text1" w:themeTint="A6"/>
        </w:pBdr>
        <w:snapToGrid w:val="0"/>
        <w:spacing w:before="0" w:after="0"/>
        <w:rPr>
          <w:color w:val="FF0000"/>
        </w:rPr>
      </w:pPr>
      <w:bookmarkStart w:id="148" w:name="_What_constitutes_a"/>
      <w:bookmarkStart w:id="149" w:name="_Toc76023663"/>
      <w:bookmarkStart w:id="150" w:name="_Toc76023727"/>
      <w:bookmarkStart w:id="151" w:name="_Toc76376055"/>
      <w:bookmarkStart w:id="152" w:name="_Toc76377275"/>
      <w:bookmarkStart w:id="153" w:name="_Toc76377337"/>
      <w:bookmarkStart w:id="154" w:name="_Toc76378445"/>
      <w:bookmarkStart w:id="155" w:name="_Toc76023664"/>
      <w:bookmarkStart w:id="156" w:name="_Toc76023728"/>
      <w:bookmarkStart w:id="157" w:name="_Toc76376056"/>
      <w:bookmarkStart w:id="158" w:name="_Toc76377276"/>
      <w:bookmarkStart w:id="159" w:name="_Toc76377338"/>
      <w:bookmarkStart w:id="160" w:name="_Toc76378446"/>
      <w:bookmarkStart w:id="161" w:name="_Toc76023665"/>
      <w:bookmarkStart w:id="162" w:name="_Toc76023729"/>
      <w:bookmarkStart w:id="163" w:name="_Toc76376057"/>
      <w:bookmarkStart w:id="164" w:name="_Toc76377277"/>
      <w:bookmarkStart w:id="165" w:name="_Toc76377339"/>
      <w:bookmarkStart w:id="166" w:name="_Toc76378447"/>
      <w:bookmarkStart w:id="167" w:name="_Toc186198685"/>
      <w:bookmarkStart w:id="168" w:name="_Toc186198869"/>
      <w:bookmarkStart w:id="169" w:name="_Toc186189275"/>
      <w:bookmarkStart w:id="170" w:name="_Toc186189443"/>
      <w:bookmarkStart w:id="171" w:name="_Toc186198686"/>
      <w:bookmarkStart w:id="172" w:name="_Toc186198870"/>
      <w:bookmarkStart w:id="173" w:name="_Toc186198687"/>
      <w:bookmarkStart w:id="174" w:name="_Toc186198871"/>
      <w:bookmarkStart w:id="175" w:name="_Toc186198713"/>
      <w:bookmarkStart w:id="176" w:name="_Toc186198897"/>
      <w:bookmarkStart w:id="177" w:name="_Toc186198714"/>
      <w:bookmarkStart w:id="178" w:name="_Toc186198898"/>
      <w:bookmarkStart w:id="179" w:name="_Toc186198716"/>
      <w:bookmarkStart w:id="180" w:name="_Toc186198900"/>
      <w:bookmarkStart w:id="181" w:name="_Toc186198717"/>
      <w:bookmarkStart w:id="182" w:name="_Toc186198901"/>
      <w:bookmarkStart w:id="183" w:name="_Toc186198718"/>
      <w:bookmarkStart w:id="184" w:name="_Toc186198902"/>
      <w:bookmarkStart w:id="185" w:name="_Reporting_to_the"/>
      <w:bookmarkStart w:id="186" w:name="_Toc186198720"/>
      <w:bookmarkStart w:id="187" w:name="_Toc186198904"/>
      <w:bookmarkStart w:id="188" w:name="_Toc186198721"/>
      <w:bookmarkStart w:id="189" w:name="_Toc186198905"/>
      <w:bookmarkStart w:id="190" w:name="_Toc186198722"/>
      <w:bookmarkStart w:id="191" w:name="_Toc186198906"/>
      <w:bookmarkStart w:id="192" w:name="_Toc186198723"/>
      <w:bookmarkStart w:id="193" w:name="_Toc186198907"/>
      <w:bookmarkStart w:id="194" w:name="_Toc186198724"/>
      <w:bookmarkStart w:id="195" w:name="_Toc186198908"/>
      <w:bookmarkStart w:id="196" w:name="_Toc186198725"/>
      <w:bookmarkStart w:id="197" w:name="_Toc186198909"/>
      <w:bookmarkStart w:id="198" w:name="_Toc186198726"/>
      <w:bookmarkStart w:id="199" w:name="_Toc186198910"/>
      <w:bookmarkStart w:id="200" w:name="_Toc186198727"/>
      <w:bookmarkStart w:id="201" w:name="_Toc186198911"/>
      <w:bookmarkStart w:id="202" w:name="_Toc186198728"/>
      <w:bookmarkStart w:id="203" w:name="_Toc186198912"/>
      <w:bookmarkStart w:id="204" w:name="_Toc76023671"/>
      <w:bookmarkStart w:id="205" w:name="_Toc76023735"/>
      <w:bookmarkStart w:id="206" w:name="_Toc76376063"/>
      <w:bookmarkStart w:id="207" w:name="_Toc76377283"/>
      <w:bookmarkStart w:id="208" w:name="_Toc76377345"/>
      <w:bookmarkStart w:id="209" w:name="_Toc76378453"/>
      <w:bookmarkStart w:id="210" w:name="_Toc76023672"/>
      <w:bookmarkStart w:id="211" w:name="_Toc76023736"/>
      <w:bookmarkStart w:id="212" w:name="_Toc76376064"/>
      <w:bookmarkStart w:id="213" w:name="_Toc76377284"/>
      <w:bookmarkStart w:id="214" w:name="_Toc76377346"/>
      <w:bookmarkStart w:id="215" w:name="_Toc76378454"/>
      <w:bookmarkStart w:id="216" w:name="_Toc186198732"/>
      <w:bookmarkStart w:id="217" w:name="_Toc186198916"/>
      <w:bookmarkStart w:id="218" w:name="_Toc186198733"/>
      <w:bookmarkStart w:id="219" w:name="_Toc186198917"/>
      <w:bookmarkStart w:id="220" w:name="_Toc186198921"/>
      <w:bookmarkStart w:id="221" w:name="_Toc186189313"/>
      <w:bookmarkStart w:id="222" w:name="_Toc186189481"/>
      <w:bookmarkStart w:id="223" w:name="_CQC_inspections"/>
      <w:bookmarkStart w:id="224" w:name="_Toc186189314"/>
      <w:bookmarkStart w:id="225" w:name="_Toc186189482"/>
      <w:bookmarkStart w:id="226" w:name="_Toc186189315"/>
      <w:bookmarkStart w:id="227" w:name="_Toc186189483"/>
      <w:bookmarkStart w:id="228" w:name="_Toc186189316"/>
      <w:bookmarkStart w:id="229" w:name="_Toc186189484"/>
      <w:bookmarkStart w:id="230" w:name="_Annex_A_–_2"/>
      <w:bookmarkStart w:id="231" w:name="_Annex_A_–_1"/>
      <w:bookmarkStart w:id="232" w:name="_Annex_A_–"/>
      <w:bookmarkStart w:id="233" w:name="_Annex_B_–"/>
      <w:bookmarkStart w:id="234" w:name="_Annex_C_–"/>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sectPr w:rsidR="00D85E4D" w:rsidSect="00AB58D2">
      <w:pgSz w:w="16820" w:h="11900"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CC336" w14:textId="77777777" w:rsidR="00A83A85" w:rsidRDefault="00A83A85" w:rsidP="00D85E4D">
      <w:r>
        <w:separator/>
      </w:r>
    </w:p>
  </w:endnote>
  <w:endnote w:type="continuationSeparator" w:id="0">
    <w:p w14:paraId="74E37D84" w14:textId="77777777" w:rsidR="00A83A85" w:rsidRDefault="00A83A85" w:rsidP="00D85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AD412" w14:textId="6E4CAF5E" w:rsidR="003E2BAC" w:rsidRPr="003E2BAC" w:rsidRDefault="003E2BAC" w:rsidP="003E2BAC">
    <w:pPr>
      <w:pStyle w:val="Footer"/>
      <w:ind w:left="1080"/>
      <w:jc w:val="right"/>
      <w:rPr>
        <w:rFonts w:ascii="Arial" w:hAnsi="Arial" w:cs="Arial"/>
        <w:sz w:val="21"/>
        <w:szCs w:val="21"/>
      </w:rPr>
    </w:pPr>
    <w:r w:rsidRPr="002C6747">
      <w:rPr>
        <w:rFonts w:ascii="Arial" w:hAnsi="Arial" w:cs="Arial"/>
        <w:sz w:val="21"/>
        <w:szCs w:val="21"/>
      </w:rPr>
      <w:fldChar w:fldCharType="begin"/>
    </w:r>
    <w:r w:rsidRPr="002C6747">
      <w:rPr>
        <w:rFonts w:ascii="Arial" w:hAnsi="Arial" w:cs="Arial"/>
        <w:sz w:val="21"/>
        <w:szCs w:val="21"/>
      </w:rPr>
      <w:instrText xml:space="preserve"> PAGE   \* MERGEFORMAT </w:instrText>
    </w:r>
    <w:r w:rsidRPr="002C6747">
      <w:rPr>
        <w:rFonts w:ascii="Arial" w:hAnsi="Arial" w:cs="Arial"/>
        <w:sz w:val="21"/>
        <w:szCs w:val="21"/>
      </w:rPr>
      <w:fldChar w:fldCharType="separate"/>
    </w:r>
    <w:r>
      <w:rPr>
        <w:rFonts w:ascii="Arial" w:hAnsi="Arial" w:cs="Arial"/>
        <w:sz w:val="21"/>
        <w:szCs w:val="21"/>
      </w:rPr>
      <w:t>2</w:t>
    </w:r>
    <w:r w:rsidRPr="002C6747">
      <w:rPr>
        <w:rFonts w:ascii="Arial" w:hAnsi="Arial" w:cs="Arial"/>
        <w:noProof/>
        <w:sz w:val="21"/>
        <w:szCs w:val="21"/>
      </w:rPr>
      <w:fldChar w:fldCharType="end"/>
    </w:r>
  </w:p>
  <w:p w14:paraId="6B6658EE" w14:textId="27334C72" w:rsidR="003E2BAC" w:rsidRPr="003E2BAC" w:rsidRDefault="003E2BAC" w:rsidP="003E2BAC">
    <w:pPr>
      <w:pStyle w:val="Footer"/>
      <w:pBdr>
        <w:top w:val="single" w:sz="4" w:space="1" w:color="D9D9D9" w:themeColor="background1" w:themeShade="D9"/>
      </w:pBdr>
      <w:jc w:val="center"/>
    </w:pPr>
    <w:r>
      <w:rPr>
        <w:noProof/>
        <w:color w:val="000000"/>
      </w:rPr>
      <w:drawing>
        <wp:inline distT="0" distB="0" distL="0" distR="0" wp14:anchorId="6031FF44" wp14:editId="791AB914">
          <wp:extent cx="1917290" cy="374447"/>
          <wp:effectExtent l="0" t="0" r="635" b="0"/>
          <wp:docPr id="866629069"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525909" name="Picture 3"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39705" cy="39835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C8397" w14:textId="7AD0EE07" w:rsidR="003E2BAC" w:rsidRDefault="003E2BAC" w:rsidP="003E2BAC">
    <w:pPr>
      <w:pStyle w:val="Footer"/>
      <w:jc w:val="center"/>
    </w:pPr>
    <w:r>
      <w:rPr>
        <w:noProof/>
        <w:color w:val="000000"/>
      </w:rPr>
      <w:drawing>
        <wp:inline distT="0" distB="0" distL="0" distR="0" wp14:anchorId="3C487466" wp14:editId="42A633DD">
          <wp:extent cx="1917290" cy="374447"/>
          <wp:effectExtent l="0" t="0" r="635" b="0"/>
          <wp:docPr id="1560740551"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525909" name="Picture 3"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39705" cy="39835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12128" w14:textId="77777777" w:rsidR="00A83A85" w:rsidRDefault="00A83A85" w:rsidP="00D85E4D">
      <w:r>
        <w:separator/>
      </w:r>
    </w:p>
  </w:footnote>
  <w:footnote w:type="continuationSeparator" w:id="0">
    <w:p w14:paraId="0BAB81DE" w14:textId="77777777" w:rsidR="00A83A85" w:rsidRDefault="00A83A85" w:rsidP="00D85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241CF" w14:textId="79EAB8E9" w:rsidR="00B46043" w:rsidRDefault="00B46043" w:rsidP="00675084">
    <w:pPr>
      <w:pStyle w:val="Header"/>
      <w:jc w:val="center"/>
    </w:pPr>
  </w:p>
  <w:p w14:paraId="44785516" w14:textId="77777777" w:rsidR="00B46043" w:rsidRPr="00675084" w:rsidRDefault="00B46043" w:rsidP="006750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D7385" w14:textId="6FDDD3FB" w:rsidR="003E2BAC" w:rsidRPr="0058781F" w:rsidRDefault="0058781F" w:rsidP="003E2BAC">
    <w:pPr>
      <w:jc w:val="center"/>
      <w:rPr>
        <w:rFonts w:ascii="Arial Black" w:eastAsia="Arial" w:hAnsi="Arial Black" w:cs="Arial"/>
        <w:b/>
        <w:sz w:val="40"/>
        <w:szCs w:val="40"/>
      </w:rPr>
    </w:pPr>
    <w:r w:rsidRPr="0058781F">
      <w:rPr>
        <w:rFonts w:ascii="Arial Black" w:eastAsia="Arial" w:hAnsi="Arial Black" w:cs="Arial"/>
        <w:b/>
        <w:sz w:val="40"/>
        <w:szCs w:val="40"/>
      </w:rPr>
      <w:t>Filey Surgery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37C6"/>
    <w:multiLevelType w:val="hybridMultilevel"/>
    <w:tmpl w:val="D9DC4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AC37D9"/>
    <w:multiLevelType w:val="hybridMultilevel"/>
    <w:tmpl w:val="DED42F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702E43"/>
    <w:multiLevelType w:val="hybridMultilevel"/>
    <w:tmpl w:val="063EC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DC365F"/>
    <w:multiLevelType w:val="hybridMultilevel"/>
    <w:tmpl w:val="4B009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82775B"/>
    <w:multiLevelType w:val="multilevel"/>
    <w:tmpl w:val="6298E344"/>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576" w:hanging="576"/>
      </w:pPr>
      <w:rPr>
        <w:rFonts w:ascii="Arial" w:hAnsi="Arial" w:cs="Arial" w:hint="default"/>
        <w:b/>
        <w:bCs/>
        <w:color w:val="auto"/>
        <w:sz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8FF14D1"/>
    <w:multiLevelType w:val="hybridMultilevel"/>
    <w:tmpl w:val="8682C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581E45"/>
    <w:multiLevelType w:val="hybridMultilevel"/>
    <w:tmpl w:val="0B0E7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8E3BD0"/>
    <w:multiLevelType w:val="hybridMultilevel"/>
    <w:tmpl w:val="CE10E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0E32D4"/>
    <w:multiLevelType w:val="hybridMultilevel"/>
    <w:tmpl w:val="498E3B0C"/>
    <w:lvl w:ilvl="0" w:tplc="08090003">
      <w:start w:val="1"/>
      <w:numFmt w:val="bullet"/>
      <w:lvlText w:val="o"/>
      <w:lvlJc w:val="left"/>
      <w:pPr>
        <w:ind w:left="1440" w:hanging="360"/>
      </w:pPr>
      <w:rPr>
        <w:rFonts w:ascii="Courier New" w:hAnsi="Courier New" w:cs="Courier New" w:hint="default"/>
      </w:rPr>
    </w:lvl>
    <w:lvl w:ilvl="1" w:tplc="4E4C4E30">
      <w:numFmt w:val="bullet"/>
      <w:lvlText w:val="•"/>
      <w:lvlJc w:val="left"/>
      <w:pPr>
        <w:ind w:left="1800" w:hanging="360"/>
      </w:pPr>
      <w:rPr>
        <w:rFonts w:ascii="Arial" w:eastAsiaTheme="minorEastAsia"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3524586"/>
    <w:multiLevelType w:val="hybridMultilevel"/>
    <w:tmpl w:val="B544991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6D332DC"/>
    <w:multiLevelType w:val="hybridMultilevel"/>
    <w:tmpl w:val="DA744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410168"/>
    <w:multiLevelType w:val="hybridMultilevel"/>
    <w:tmpl w:val="21B0A09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317E68"/>
    <w:multiLevelType w:val="hybridMultilevel"/>
    <w:tmpl w:val="546AF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495896"/>
    <w:multiLevelType w:val="hybridMultilevel"/>
    <w:tmpl w:val="86B8A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860D26"/>
    <w:multiLevelType w:val="hybridMultilevel"/>
    <w:tmpl w:val="5D5602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8E62D2"/>
    <w:multiLevelType w:val="hybridMultilevel"/>
    <w:tmpl w:val="38125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B916D2"/>
    <w:multiLevelType w:val="hybridMultilevel"/>
    <w:tmpl w:val="224C3A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9F5DAB"/>
    <w:multiLevelType w:val="hybridMultilevel"/>
    <w:tmpl w:val="80DA9218"/>
    <w:lvl w:ilvl="0" w:tplc="08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2C227D0"/>
    <w:multiLevelType w:val="hybridMultilevel"/>
    <w:tmpl w:val="1A768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A76263"/>
    <w:multiLevelType w:val="hybridMultilevel"/>
    <w:tmpl w:val="53DED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BD62BF"/>
    <w:multiLevelType w:val="hybridMultilevel"/>
    <w:tmpl w:val="12128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683D08"/>
    <w:multiLevelType w:val="hybridMultilevel"/>
    <w:tmpl w:val="379E0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0D7F9F"/>
    <w:multiLevelType w:val="hybridMultilevel"/>
    <w:tmpl w:val="2C2E4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B65C21"/>
    <w:multiLevelType w:val="hybridMultilevel"/>
    <w:tmpl w:val="6D62D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A10164"/>
    <w:multiLevelType w:val="hybridMultilevel"/>
    <w:tmpl w:val="09D454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681430"/>
    <w:multiLevelType w:val="hybridMultilevel"/>
    <w:tmpl w:val="3F8EA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0307677">
    <w:abstractNumId w:val="4"/>
  </w:num>
  <w:num w:numId="2" w16cid:durableId="89664871">
    <w:abstractNumId w:val="0"/>
  </w:num>
  <w:num w:numId="3" w16cid:durableId="405155128">
    <w:abstractNumId w:val="1"/>
  </w:num>
  <w:num w:numId="4" w16cid:durableId="496307461">
    <w:abstractNumId w:val="23"/>
  </w:num>
  <w:num w:numId="5" w16cid:durableId="1296328730">
    <w:abstractNumId w:val="24"/>
  </w:num>
  <w:num w:numId="6" w16cid:durableId="2119173399">
    <w:abstractNumId w:val="14"/>
  </w:num>
  <w:num w:numId="7" w16cid:durableId="1212495576">
    <w:abstractNumId w:val="3"/>
  </w:num>
  <w:num w:numId="8" w16cid:durableId="994183314">
    <w:abstractNumId w:val="13"/>
  </w:num>
  <w:num w:numId="9" w16cid:durableId="78912997">
    <w:abstractNumId w:val="7"/>
  </w:num>
  <w:num w:numId="10" w16cid:durableId="678047374">
    <w:abstractNumId w:val="12"/>
  </w:num>
  <w:num w:numId="11" w16cid:durableId="911085155">
    <w:abstractNumId w:val="9"/>
  </w:num>
  <w:num w:numId="12" w16cid:durableId="1227952885">
    <w:abstractNumId w:val="17"/>
  </w:num>
  <w:num w:numId="13" w16cid:durableId="433329383">
    <w:abstractNumId w:val="5"/>
  </w:num>
  <w:num w:numId="14" w16cid:durableId="439492166">
    <w:abstractNumId w:val="2"/>
  </w:num>
  <w:num w:numId="15" w16cid:durableId="1621180487">
    <w:abstractNumId w:val="25"/>
  </w:num>
  <w:num w:numId="16" w16cid:durableId="675960895">
    <w:abstractNumId w:val="8"/>
  </w:num>
  <w:num w:numId="17" w16cid:durableId="1679959976">
    <w:abstractNumId w:val="20"/>
  </w:num>
  <w:num w:numId="18" w16cid:durableId="1280838901">
    <w:abstractNumId w:val="10"/>
  </w:num>
  <w:num w:numId="19" w16cid:durableId="1797017293">
    <w:abstractNumId w:val="22"/>
  </w:num>
  <w:num w:numId="20" w16cid:durableId="790783622">
    <w:abstractNumId w:val="11"/>
  </w:num>
  <w:num w:numId="21" w16cid:durableId="1187720993">
    <w:abstractNumId w:val="15"/>
  </w:num>
  <w:num w:numId="22" w16cid:durableId="473060592">
    <w:abstractNumId w:val="18"/>
  </w:num>
  <w:num w:numId="23" w16cid:durableId="724715109">
    <w:abstractNumId w:val="16"/>
  </w:num>
  <w:num w:numId="24" w16cid:durableId="171258875">
    <w:abstractNumId w:val="21"/>
  </w:num>
  <w:num w:numId="25" w16cid:durableId="1982999416">
    <w:abstractNumId w:val="19"/>
  </w:num>
  <w:num w:numId="26" w16cid:durableId="1073502240">
    <w:abstractNumId w:val="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096"/>
    <w:rsid w:val="00004AC3"/>
    <w:rsid w:val="0001030F"/>
    <w:rsid w:val="000121A4"/>
    <w:rsid w:val="000155E6"/>
    <w:rsid w:val="00015804"/>
    <w:rsid w:val="00015D03"/>
    <w:rsid w:val="00015DD3"/>
    <w:rsid w:val="00034C0F"/>
    <w:rsid w:val="000353E8"/>
    <w:rsid w:val="00044905"/>
    <w:rsid w:val="00046F3C"/>
    <w:rsid w:val="00051838"/>
    <w:rsid w:val="00056FDE"/>
    <w:rsid w:val="000606A2"/>
    <w:rsid w:val="000625A3"/>
    <w:rsid w:val="00066D92"/>
    <w:rsid w:val="00067DD3"/>
    <w:rsid w:val="00075116"/>
    <w:rsid w:val="00075213"/>
    <w:rsid w:val="0008472C"/>
    <w:rsid w:val="000858D5"/>
    <w:rsid w:val="00087089"/>
    <w:rsid w:val="00091880"/>
    <w:rsid w:val="000918BB"/>
    <w:rsid w:val="00091E92"/>
    <w:rsid w:val="00094747"/>
    <w:rsid w:val="000A2B65"/>
    <w:rsid w:val="000A4058"/>
    <w:rsid w:val="000B1489"/>
    <w:rsid w:val="000B3B57"/>
    <w:rsid w:val="000C69F7"/>
    <w:rsid w:val="000D0020"/>
    <w:rsid w:val="000D1664"/>
    <w:rsid w:val="000E4386"/>
    <w:rsid w:val="000F35E7"/>
    <w:rsid w:val="000F4553"/>
    <w:rsid w:val="000F4FBA"/>
    <w:rsid w:val="000F50CE"/>
    <w:rsid w:val="000F5FF7"/>
    <w:rsid w:val="001037C5"/>
    <w:rsid w:val="00106582"/>
    <w:rsid w:val="00111E00"/>
    <w:rsid w:val="001128AD"/>
    <w:rsid w:val="00115E6D"/>
    <w:rsid w:val="00117E15"/>
    <w:rsid w:val="00120450"/>
    <w:rsid w:val="0012156A"/>
    <w:rsid w:val="00136A91"/>
    <w:rsid w:val="00137AFD"/>
    <w:rsid w:val="001429C3"/>
    <w:rsid w:val="00143C50"/>
    <w:rsid w:val="00144A86"/>
    <w:rsid w:val="00145BEC"/>
    <w:rsid w:val="00152800"/>
    <w:rsid w:val="00154311"/>
    <w:rsid w:val="00160F3C"/>
    <w:rsid w:val="00161C49"/>
    <w:rsid w:val="00163384"/>
    <w:rsid w:val="00165728"/>
    <w:rsid w:val="00166F39"/>
    <w:rsid w:val="00167C93"/>
    <w:rsid w:val="00172858"/>
    <w:rsid w:val="00172ACD"/>
    <w:rsid w:val="001776F2"/>
    <w:rsid w:val="00182759"/>
    <w:rsid w:val="00182F4B"/>
    <w:rsid w:val="001872B9"/>
    <w:rsid w:val="00190C4A"/>
    <w:rsid w:val="0019118A"/>
    <w:rsid w:val="00192901"/>
    <w:rsid w:val="00193FD6"/>
    <w:rsid w:val="00194D5E"/>
    <w:rsid w:val="00196B59"/>
    <w:rsid w:val="00197E1C"/>
    <w:rsid w:val="001A01D7"/>
    <w:rsid w:val="001A0EF1"/>
    <w:rsid w:val="001A437A"/>
    <w:rsid w:val="001A743D"/>
    <w:rsid w:val="001A7A41"/>
    <w:rsid w:val="001B1331"/>
    <w:rsid w:val="001B15E6"/>
    <w:rsid w:val="001B1CA8"/>
    <w:rsid w:val="001B497E"/>
    <w:rsid w:val="001C2EC0"/>
    <w:rsid w:val="001C6E28"/>
    <w:rsid w:val="001D07EB"/>
    <w:rsid w:val="001D2DE2"/>
    <w:rsid w:val="001E0150"/>
    <w:rsid w:val="001E31F8"/>
    <w:rsid w:val="001E7CF7"/>
    <w:rsid w:val="001F3D85"/>
    <w:rsid w:val="001F4257"/>
    <w:rsid w:val="001F4E63"/>
    <w:rsid w:val="001F5A48"/>
    <w:rsid w:val="00205324"/>
    <w:rsid w:val="00205586"/>
    <w:rsid w:val="00206BA6"/>
    <w:rsid w:val="00207F39"/>
    <w:rsid w:val="00207FE6"/>
    <w:rsid w:val="0021157C"/>
    <w:rsid w:val="00214FAE"/>
    <w:rsid w:val="002154D1"/>
    <w:rsid w:val="00216989"/>
    <w:rsid w:val="00222365"/>
    <w:rsid w:val="00224955"/>
    <w:rsid w:val="00230CFB"/>
    <w:rsid w:val="00231321"/>
    <w:rsid w:val="00231DAE"/>
    <w:rsid w:val="00244A17"/>
    <w:rsid w:val="00245C51"/>
    <w:rsid w:val="0024704E"/>
    <w:rsid w:val="002507DA"/>
    <w:rsid w:val="002543AE"/>
    <w:rsid w:val="0026464B"/>
    <w:rsid w:val="00273E7C"/>
    <w:rsid w:val="002746F3"/>
    <w:rsid w:val="00275E4A"/>
    <w:rsid w:val="002761CA"/>
    <w:rsid w:val="00287693"/>
    <w:rsid w:val="00287BB6"/>
    <w:rsid w:val="00291758"/>
    <w:rsid w:val="00292EA0"/>
    <w:rsid w:val="0029468F"/>
    <w:rsid w:val="00295507"/>
    <w:rsid w:val="00296404"/>
    <w:rsid w:val="002A026E"/>
    <w:rsid w:val="002A112D"/>
    <w:rsid w:val="002B235E"/>
    <w:rsid w:val="002B437A"/>
    <w:rsid w:val="002C0F0A"/>
    <w:rsid w:val="002C2CC0"/>
    <w:rsid w:val="002C4969"/>
    <w:rsid w:val="002C6527"/>
    <w:rsid w:val="002C6747"/>
    <w:rsid w:val="002C7508"/>
    <w:rsid w:val="002D18C1"/>
    <w:rsid w:val="002D47E2"/>
    <w:rsid w:val="002D48FF"/>
    <w:rsid w:val="002F1096"/>
    <w:rsid w:val="002F1D75"/>
    <w:rsid w:val="002F4808"/>
    <w:rsid w:val="003000BD"/>
    <w:rsid w:val="00300373"/>
    <w:rsid w:val="00311998"/>
    <w:rsid w:val="0031325B"/>
    <w:rsid w:val="00314A09"/>
    <w:rsid w:val="00320B47"/>
    <w:rsid w:val="00321B81"/>
    <w:rsid w:val="003223D3"/>
    <w:rsid w:val="00323FEE"/>
    <w:rsid w:val="00341294"/>
    <w:rsid w:val="003412F1"/>
    <w:rsid w:val="00343E43"/>
    <w:rsid w:val="0034675F"/>
    <w:rsid w:val="00347DAD"/>
    <w:rsid w:val="0035306F"/>
    <w:rsid w:val="003535A8"/>
    <w:rsid w:val="00357D85"/>
    <w:rsid w:val="0036125C"/>
    <w:rsid w:val="00361EBF"/>
    <w:rsid w:val="00366213"/>
    <w:rsid w:val="00366CEC"/>
    <w:rsid w:val="00367A39"/>
    <w:rsid w:val="00367F30"/>
    <w:rsid w:val="00375D0C"/>
    <w:rsid w:val="003833EE"/>
    <w:rsid w:val="0038636B"/>
    <w:rsid w:val="003870E1"/>
    <w:rsid w:val="00390205"/>
    <w:rsid w:val="00390AB8"/>
    <w:rsid w:val="00391535"/>
    <w:rsid w:val="00392880"/>
    <w:rsid w:val="00395603"/>
    <w:rsid w:val="003964F7"/>
    <w:rsid w:val="003967BE"/>
    <w:rsid w:val="003A0199"/>
    <w:rsid w:val="003A08C7"/>
    <w:rsid w:val="003A6C64"/>
    <w:rsid w:val="003A728A"/>
    <w:rsid w:val="003B3B38"/>
    <w:rsid w:val="003B55CF"/>
    <w:rsid w:val="003C0710"/>
    <w:rsid w:val="003C0944"/>
    <w:rsid w:val="003C1644"/>
    <w:rsid w:val="003C74FD"/>
    <w:rsid w:val="003D648E"/>
    <w:rsid w:val="003D679B"/>
    <w:rsid w:val="003D7BC6"/>
    <w:rsid w:val="003E2BAC"/>
    <w:rsid w:val="003E33A0"/>
    <w:rsid w:val="003E636C"/>
    <w:rsid w:val="003E668B"/>
    <w:rsid w:val="003E72F8"/>
    <w:rsid w:val="003F36B9"/>
    <w:rsid w:val="003F6E45"/>
    <w:rsid w:val="003F712F"/>
    <w:rsid w:val="00404959"/>
    <w:rsid w:val="00411341"/>
    <w:rsid w:val="00411AF8"/>
    <w:rsid w:val="004163D3"/>
    <w:rsid w:val="00424331"/>
    <w:rsid w:val="00425686"/>
    <w:rsid w:val="00432181"/>
    <w:rsid w:val="00432EBD"/>
    <w:rsid w:val="0043549F"/>
    <w:rsid w:val="0044097E"/>
    <w:rsid w:val="00442BCE"/>
    <w:rsid w:val="004436A8"/>
    <w:rsid w:val="00446D8F"/>
    <w:rsid w:val="00447440"/>
    <w:rsid w:val="00452A62"/>
    <w:rsid w:val="00453016"/>
    <w:rsid w:val="00455384"/>
    <w:rsid w:val="004602EF"/>
    <w:rsid w:val="00460BA9"/>
    <w:rsid w:val="00464F50"/>
    <w:rsid w:val="004660C6"/>
    <w:rsid w:val="004674C5"/>
    <w:rsid w:val="004763A7"/>
    <w:rsid w:val="0048557B"/>
    <w:rsid w:val="00485A3C"/>
    <w:rsid w:val="00491C62"/>
    <w:rsid w:val="00496B8A"/>
    <w:rsid w:val="00496FB1"/>
    <w:rsid w:val="004A2D8A"/>
    <w:rsid w:val="004B24D9"/>
    <w:rsid w:val="004C2F15"/>
    <w:rsid w:val="004C5D83"/>
    <w:rsid w:val="004C604E"/>
    <w:rsid w:val="004C6A88"/>
    <w:rsid w:val="004C714D"/>
    <w:rsid w:val="004C7CDB"/>
    <w:rsid w:val="004D4FB9"/>
    <w:rsid w:val="004D522E"/>
    <w:rsid w:val="004E0333"/>
    <w:rsid w:val="004E1BB6"/>
    <w:rsid w:val="004E32E5"/>
    <w:rsid w:val="004E458A"/>
    <w:rsid w:val="004E5722"/>
    <w:rsid w:val="004E647A"/>
    <w:rsid w:val="004E7453"/>
    <w:rsid w:val="004F11CB"/>
    <w:rsid w:val="004F122F"/>
    <w:rsid w:val="004F1B36"/>
    <w:rsid w:val="004F587B"/>
    <w:rsid w:val="00500B87"/>
    <w:rsid w:val="00502ACD"/>
    <w:rsid w:val="00502C53"/>
    <w:rsid w:val="00504C04"/>
    <w:rsid w:val="005067B1"/>
    <w:rsid w:val="005068EC"/>
    <w:rsid w:val="00506F29"/>
    <w:rsid w:val="0051021D"/>
    <w:rsid w:val="00515291"/>
    <w:rsid w:val="005153E9"/>
    <w:rsid w:val="00527B68"/>
    <w:rsid w:val="005357F6"/>
    <w:rsid w:val="00537D27"/>
    <w:rsid w:val="005407DE"/>
    <w:rsid w:val="0054267D"/>
    <w:rsid w:val="005426F8"/>
    <w:rsid w:val="005437A8"/>
    <w:rsid w:val="0054617B"/>
    <w:rsid w:val="005465EA"/>
    <w:rsid w:val="00547833"/>
    <w:rsid w:val="00551712"/>
    <w:rsid w:val="00554130"/>
    <w:rsid w:val="00562388"/>
    <w:rsid w:val="005629E0"/>
    <w:rsid w:val="00565313"/>
    <w:rsid w:val="00573E13"/>
    <w:rsid w:val="00574ADC"/>
    <w:rsid w:val="00576B6A"/>
    <w:rsid w:val="00577116"/>
    <w:rsid w:val="0058488C"/>
    <w:rsid w:val="0058781F"/>
    <w:rsid w:val="005923E7"/>
    <w:rsid w:val="005A2B1C"/>
    <w:rsid w:val="005A2F40"/>
    <w:rsid w:val="005A369E"/>
    <w:rsid w:val="005A7718"/>
    <w:rsid w:val="005B058D"/>
    <w:rsid w:val="005B2F37"/>
    <w:rsid w:val="005B3803"/>
    <w:rsid w:val="005B71FE"/>
    <w:rsid w:val="005C0233"/>
    <w:rsid w:val="005C0DC5"/>
    <w:rsid w:val="005C59B4"/>
    <w:rsid w:val="005C7AF6"/>
    <w:rsid w:val="005D0293"/>
    <w:rsid w:val="005D1E8D"/>
    <w:rsid w:val="005E4FBB"/>
    <w:rsid w:val="005E6C5F"/>
    <w:rsid w:val="005E7268"/>
    <w:rsid w:val="005E7877"/>
    <w:rsid w:val="005F2583"/>
    <w:rsid w:val="00600418"/>
    <w:rsid w:val="0060308B"/>
    <w:rsid w:val="0061063B"/>
    <w:rsid w:val="006125D6"/>
    <w:rsid w:val="00622645"/>
    <w:rsid w:val="0062334A"/>
    <w:rsid w:val="006244B9"/>
    <w:rsid w:val="00626BDF"/>
    <w:rsid w:val="00627A14"/>
    <w:rsid w:val="00631A5F"/>
    <w:rsid w:val="00631C4D"/>
    <w:rsid w:val="00631F81"/>
    <w:rsid w:val="00634F2D"/>
    <w:rsid w:val="00635CEE"/>
    <w:rsid w:val="00640564"/>
    <w:rsid w:val="006412EC"/>
    <w:rsid w:val="00641610"/>
    <w:rsid w:val="00643B50"/>
    <w:rsid w:val="006728BD"/>
    <w:rsid w:val="00674887"/>
    <w:rsid w:val="00675084"/>
    <w:rsid w:val="00676A23"/>
    <w:rsid w:val="006772E9"/>
    <w:rsid w:val="00677D3D"/>
    <w:rsid w:val="00680184"/>
    <w:rsid w:val="00681FDF"/>
    <w:rsid w:val="00682B45"/>
    <w:rsid w:val="0068371D"/>
    <w:rsid w:val="00683F4D"/>
    <w:rsid w:val="00684F05"/>
    <w:rsid w:val="00692ED5"/>
    <w:rsid w:val="00692EDD"/>
    <w:rsid w:val="00694398"/>
    <w:rsid w:val="00696DAC"/>
    <w:rsid w:val="006A4A2A"/>
    <w:rsid w:val="006A554D"/>
    <w:rsid w:val="006B5623"/>
    <w:rsid w:val="006B6861"/>
    <w:rsid w:val="006C289F"/>
    <w:rsid w:val="006C2D92"/>
    <w:rsid w:val="006C5288"/>
    <w:rsid w:val="006C7E66"/>
    <w:rsid w:val="006D01D9"/>
    <w:rsid w:val="006D50CB"/>
    <w:rsid w:val="006D7334"/>
    <w:rsid w:val="006E1BEC"/>
    <w:rsid w:val="006E46ED"/>
    <w:rsid w:val="006E64C5"/>
    <w:rsid w:val="006F6E6B"/>
    <w:rsid w:val="0070349E"/>
    <w:rsid w:val="00704460"/>
    <w:rsid w:val="00706651"/>
    <w:rsid w:val="007101F4"/>
    <w:rsid w:val="0071169A"/>
    <w:rsid w:val="007131CE"/>
    <w:rsid w:val="00713EF4"/>
    <w:rsid w:val="00714479"/>
    <w:rsid w:val="0071583A"/>
    <w:rsid w:val="00717919"/>
    <w:rsid w:val="00727F1E"/>
    <w:rsid w:val="00730CC3"/>
    <w:rsid w:val="007326E3"/>
    <w:rsid w:val="00736630"/>
    <w:rsid w:val="00741138"/>
    <w:rsid w:val="00741807"/>
    <w:rsid w:val="00746670"/>
    <w:rsid w:val="00747A6B"/>
    <w:rsid w:val="00750272"/>
    <w:rsid w:val="0075516F"/>
    <w:rsid w:val="00757E56"/>
    <w:rsid w:val="00774E74"/>
    <w:rsid w:val="00783572"/>
    <w:rsid w:val="0078433E"/>
    <w:rsid w:val="007869B6"/>
    <w:rsid w:val="00791DD4"/>
    <w:rsid w:val="00796159"/>
    <w:rsid w:val="00797206"/>
    <w:rsid w:val="007A51A6"/>
    <w:rsid w:val="007B513C"/>
    <w:rsid w:val="007C1610"/>
    <w:rsid w:val="007C4EA7"/>
    <w:rsid w:val="007C657E"/>
    <w:rsid w:val="007D36E5"/>
    <w:rsid w:val="007E3C3B"/>
    <w:rsid w:val="007E4E9F"/>
    <w:rsid w:val="007F1958"/>
    <w:rsid w:val="007F68DA"/>
    <w:rsid w:val="008051A2"/>
    <w:rsid w:val="00807DB8"/>
    <w:rsid w:val="008113D7"/>
    <w:rsid w:val="0081531F"/>
    <w:rsid w:val="008155B4"/>
    <w:rsid w:val="00824054"/>
    <w:rsid w:val="00835FFA"/>
    <w:rsid w:val="00837E95"/>
    <w:rsid w:val="00847705"/>
    <w:rsid w:val="00851BDA"/>
    <w:rsid w:val="008603AE"/>
    <w:rsid w:val="00862EB6"/>
    <w:rsid w:val="00863260"/>
    <w:rsid w:val="00864CB5"/>
    <w:rsid w:val="008727CB"/>
    <w:rsid w:val="00873345"/>
    <w:rsid w:val="00874874"/>
    <w:rsid w:val="00876911"/>
    <w:rsid w:val="00876F26"/>
    <w:rsid w:val="008804AC"/>
    <w:rsid w:val="00882026"/>
    <w:rsid w:val="00884F9C"/>
    <w:rsid w:val="00885599"/>
    <w:rsid w:val="0088620E"/>
    <w:rsid w:val="0088775D"/>
    <w:rsid w:val="00890ED5"/>
    <w:rsid w:val="00893DCA"/>
    <w:rsid w:val="0089467C"/>
    <w:rsid w:val="0089666E"/>
    <w:rsid w:val="00896912"/>
    <w:rsid w:val="008A18C8"/>
    <w:rsid w:val="008A21D1"/>
    <w:rsid w:val="008A36FF"/>
    <w:rsid w:val="008A4E22"/>
    <w:rsid w:val="008A5CCE"/>
    <w:rsid w:val="008B2F0E"/>
    <w:rsid w:val="008B7D0C"/>
    <w:rsid w:val="008C1D8B"/>
    <w:rsid w:val="008C2AEF"/>
    <w:rsid w:val="008C5DC8"/>
    <w:rsid w:val="008C6AD8"/>
    <w:rsid w:val="008D5E2A"/>
    <w:rsid w:val="008E0624"/>
    <w:rsid w:val="008E2746"/>
    <w:rsid w:val="008F185C"/>
    <w:rsid w:val="008F4B4C"/>
    <w:rsid w:val="009028BB"/>
    <w:rsid w:val="00913802"/>
    <w:rsid w:val="009235C1"/>
    <w:rsid w:val="009249CB"/>
    <w:rsid w:val="009275ED"/>
    <w:rsid w:val="00931791"/>
    <w:rsid w:val="009320AB"/>
    <w:rsid w:val="00937868"/>
    <w:rsid w:val="00940EB7"/>
    <w:rsid w:val="00941917"/>
    <w:rsid w:val="00943551"/>
    <w:rsid w:val="00943D27"/>
    <w:rsid w:val="0094447A"/>
    <w:rsid w:val="00945C12"/>
    <w:rsid w:val="0094778A"/>
    <w:rsid w:val="00951829"/>
    <w:rsid w:val="009527FE"/>
    <w:rsid w:val="0095408D"/>
    <w:rsid w:val="00954597"/>
    <w:rsid w:val="00960DE5"/>
    <w:rsid w:val="00962F38"/>
    <w:rsid w:val="00965FEA"/>
    <w:rsid w:val="00967BAD"/>
    <w:rsid w:val="0097074D"/>
    <w:rsid w:val="00972911"/>
    <w:rsid w:val="009755AA"/>
    <w:rsid w:val="00982EB3"/>
    <w:rsid w:val="009860EE"/>
    <w:rsid w:val="009865FC"/>
    <w:rsid w:val="00986B04"/>
    <w:rsid w:val="009934CF"/>
    <w:rsid w:val="009A2C28"/>
    <w:rsid w:val="009A2E71"/>
    <w:rsid w:val="009A5353"/>
    <w:rsid w:val="009A603A"/>
    <w:rsid w:val="009A6972"/>
    <w:rsid w:val="009A7CF4"/>
    <w:rsid w:val="009C0A91"/>
    <w:rsid w:val="009C0CD9"/>
    <w:rsid w:val="009C12C1"/>
    <w:rsid w:val="009C4960"/>
    <w:rsid w:val="009C7290"/>
    <w:rsid w:val="009C7A18"/>
    <w:rsid w:val="009D3BBE"/>
    <w:rsid w:val="009D5CCB"/>
    <w:rsid w:val="009E1FB2"/>
    <w:rsid w:val="009E44EC"/>
    <w:rsid w:val="009F3854"/>
    <w:rsid w:val="009F75EF"/>
    <w:rsid w:val="009F7D36"/>
    <w:rsid w:val="00A12A6E"/>
    <w:rsid w:val="00A17072"/>
    <w:rsid w:val="00A208DB"/>
    <w:rsid w:val="00A22B50"/>
    <w:rsid w:val="00A26A10"/>
    <w:rsid w:val="00A27660"/>
    <w:rsid w:val="00A355F3"/>
    <w:rsid w:val="00A35CD2"/>
    <w:rsid w:val="00A41B77"/>
    <w:rsid w:val="00A44B2D"/>
    <w:rsid w:val="00A461AE"/>
    <w:rsid w:val="00A47272"/>
    <w:rsid w:val="00A5043E"/>
    <w:rsid w:val="00A54790"/>
    <w:rsid w:val="00A57DBD"/>
    <w:rsid w:val="00A61D4D"/>
    <w:rsid w:val="00A62D77"/>
    <w:rsid w:val="00A72123"/>
    <w:rsid w:val="00A721EE"/>
    <w:rsid w:val="00A724C7"/>
    <w:rsid w:val="00A74D11"/>
    <w:rsid w:val="00A800BB"/>
    <w:rsid w:val="00A81988"/>
    <w:rsid w:val="00A83A85"/>
    <w:rsid w:val="00A83D27"/>
    <w:rsid w:val="00A8480E"/>
    <w:rsid w:val="00A910EC"/>
    <w:rsid w:val="00A927D0"/>
    <w:rsid w:val="00A947A6"/>
    <w:rsid w:val="00A97622"/>
    <w:rsid w:val="00AA08B8"/>
    <w:rsid w:val="00AB3844"/>
    <w:rsid w:val="00AB58D2"/>
    <w:rsid w:val="00AC0585"/>
    <w:rsid w:val="00AC0986"/>
    <w:rsid w:val="00AC2677"/>
    <w:rsid w:val="00AD232F"/>
    <w:rsid w:val="00AD45AA"/>
    <w:rsid w:val="00AE091B"/>
    <w:rsid w:val="00AE22ED"/>
    <w:rsid w:val="00AE4271"/>
    <w:rsid w:val="00AE4BBE"/>
    <w:rsid w:val="00AF3B58"/>
    <w:rsid w:val="00AF3BF2"/>
    <w:rsid w:val="00AF4808"/>
    <w:rsid w:val="00AF4A88"/>
    <w:rsid w:val="00AF7B03"/>
    <w:rsid w:val="00B01352"/>
    <w:rsid w:val="00B15EBD"/>
    <w:rsid w:val="00B16BA3"/>
    <w:rsid w:val="00B16F5B"/>
    <w:rsid w:val="00B204C0"/>
    <w:rsid w:val="00B220DF"/>
    <w:rsid w:val="00B22E1E"/>
    <w:rsid w:val="00B22E32"/>
    <w:rsid w:val="00B2339A"/>
    <w:rsid w:val="00B2740A"/>
    <w:rsid w:val="00B27AE7"/>
    <w:rsid w:val="00B35D79"/>
    <w:rsid w:val="00B36E43"/>
    <w:rsid w:val="00B4090D"/>
    <w:rsid w:val="00B46043"/>
    <w:rsid w:val="00B5049E"/>
    <w:rsid w:val="00B506CA"/>
    <w:rsid w:val="00B50982"/>
    <w:rsid w:val="00B533B3"/>
    <w:rsid w:val="00B53D92"/>
    <w:rsid w:val="00B540E9"/>
    <w:rsid w:val="00B61F5E"/>
    <w:rsid w:val="00B62440"/>
    <w:rsid w:val="00B72F4B"/>
    <w:rsid w:val="00B74D98"/>
    <w:rsid w:val="00B75EA9"/>
    <w:rsid w:val="00B806DF"/>
    <w:rsid w:val="00B8123D"/>
    <w:rsid w:val="00B9454C"/>
    <w:rsid w:val="00B9606A"/>
    <w:rsid w:val="00B960B0"/>
    <w:rsid w:val="00BA02C9"/>
    <w:rsid w:val="00BA0A43"/>
    <w:rsid w:val="00BA1F2F"/>
    <w:rsid w:val="00BA2487"/>
    <w:rsid w:val="00BA28B0"/>
    <w:rsid w:val="00BA435D"/>
    <w:rsid w:val="00BA4461"/>
    <w:rsid w:val="00BB3D66"/>
    <w:rsid w:val="00BB564E"/>
    <w:rsid w:val="00BC1491"/>
    <w:rsid w:val="00BC4176"/>
    <w:rsid w:val="00BD1575"/>
    <w:rsid w:val="00BD3A47"/>
    <w:rsid w:val="00BE003C"/>
    <w:rsid w:val="00BE2E8A"/>
    <w:rsid w:val="00BE3256"/>
    <w:rsid w:val="00BE3973"/>
    <w:rsid w:val="00BE3A3E"/>
    <w:rsid w:val="00BE4B68"/>
    <w:rsid w:val="00BF29E0"/>
    <w:rsid w:val="00BF2B7C"/>
    <w:rsid w:val="00BF33F6"/>
    <w:rsid w:val="00BF343F"/>
    <w:rsid w:val="00C0016B"/>
    <w:rsid w:val="00C02801"/>
    <w:rsid w:val="00C0321F"/>
    <w:rsid w:val="00C033F2"/>
    <w:rsid w:val="00C037B7"/>
    <w:rsid w:val="00C03FFA"/>
    <w:rsid w:val="00C069CC"/>
    <w:rsid w:val="00C12A63"/>
    <w:rsid w:val="00C131D4"/>
    <w:rsid w:val="00C1542B"/>
    <w:rsid w:val="00C20344"/>
    <w:rsid w:val="00C22256"/>
    <w:rsid w:val="00C25D28"/>
    <w:rsid w:val="00C33A95"/>
    <w:rsid w:val="00C33DE4"/>
    <w:rsid w:val="00C35294"/>
    <w:rsid w:val="00C35CA3"/>
    <w:rsid w:val="00C414B0"/>
    <w:rsid w:val="00C427C6"/>
    <w:rsid w:val="00C431E9"/>
    <w:rsid w:val="00C67444"/>
    <w:rsid w:val="00C67ECD"/>
    <w:rsid w:val="00C7065B"/>
    <w:rsid w:val="00C72CB5"/>
    <w:rsid w:val="00C77205"/>
    <w:rsid w:val="00C802F0"/>
    <w:rsid w:val="00C80B1A"/>
    <w:rsid w:val="00C81CDC"/>
    <w:rsid w:val="00C957F6"/>
    <w:rsid w:val="00C97BA7"/>
    <w:rsid w:val="00CB39DE"/>
    <w:rsid w:val="00CB6866"/>
    <w:rsid w:val="00CC39C1"/>
    <w:rsid w:val="00CC39F4"/>
    <w:rsid w:val="00CC7229"/>
    <w:rsid w:val="00CC79BD"/>
    <w:rsid w:val="00CD15FC"/>
    <w:rsid w:val="00CD182C"/>
    <w:rsid w:val="00CD2BD0"/>
    <w:rsid w:val="00CD341B"/>
    <w:rsid w:val="00CD4001"/>
    <w:rsid w:val="00CD5635"/>
    <w:rsid w:val="00CD64A4"/>
    <w:rsid w:val="00CD7147"/>
    <w:rsid w:val="00CE2240"/>
    <w:rsid w:val="00CE2ECD"/>
    <w:rsid w:val="00CE4FF9"/>
    <w:rsid w:val="00CF23C3"/>
    <w:rsid w:val="00CF3BE4"/>
    <w:rsid w:val="00D01D60"/>
    <w:rsid w:val="00D04696"/>
    <w:rsid w:val="00D05574"/>
    <w:rsid w:val="00D058B7"/>
    <w:rsid w:val="00D11D1B"/>
    <w:rsid w:val="00D1342A"/>
    <w:rsid w:val="00D269F4"/>
    <w:rsid w:val="00D30D95"/>
    <w:rsid w:val="00D33B30"/>
    <w:rsid w:val="00D37326"/>
    <w:rsid w:val="00D37BBE"/>
    <w:rsid w:val="00D37C97"/>
    <w:rsid w:val="00D406C1"/>
    <w:rsid w:val="00D407CB"/>
    <w:rsid w:val="00D41DD2"/>
    <w:rsid w:val="00D43D34"/>
    <w:rsid w:val="00D44CB6"/>
    <w:rsid w:val="00D513A5"/>
    <w:rsid w:val="00D55B2A"/>
    <w:rsid w:val="00D55D20"/>
    <w:rsid w:val="00D64E02"/>
    <w:rsid w:val="00D7013D"/>
    <w:rsid w:val="00D76571"/>
    <w:rsid w:val="00D77B08"/>
    <w:rsid w:val="00D85E4D"/>
    <w:rsid w:val="00D8677B"/>
    <w:rsid w:val="00D87A77"/>
    <w:rsid w:val="00D94224"/>
    <w:rsid w:val="00D9442B"/>
    <w:rsid w:val="00DA7F12"/>
    <w:rsid w:val="00DB1EFC"/>
    <w:rsid w:val="00DB52D1"/>
    <w:rsid w:val="00DB5E00"/>
    <w:rsid w:val="00DB5FA6"/>
    <w:rsid w:val="00DC4668"/>
    <w:rsid w:val="00DD10E8"/>
    <w:rsid w:val="00DD209F"/>
    <w:rsid w:val="00DD637B"/>
    <w:rsid w:val="00DE3112"/>
    <w:rsid w:val="00DE369F"/>
    <w:rsid w:val="00DE41F0"/>
    <w:rsid w:val="00DF2AF5"/>
    <w:rsid w:val="00DF36DD"/>
    <w:rsid w:val="00E0406D"/>
    <w:rsid w:val="00E0556A"/>
    <w:rsid w:val="00E0616E"/>
    <w:rsid w:val="00E06B7E"/>
    <w:rsid w:val="00E102BA"/>
    <w:rsid w:val="00E11A1F"/>
    <w:rsid w:val="00E14F1E"/>
    <w:rsid w:val="00E22435"/>
    <w:rsid w:val="00E2519D"/>
    <w:rsid w:val="00E2563B"/>
    <w:rsid w:val="00E269AB"/>
    <w:rsid w:val="00E31CF4"/>
    <w:rsid w:val="00E3235D"/>
    <w:rsid w:val="00E35A44"/>
    <w:rsid w:val="00E41036"/>
    <w:rsid w:val="00E43DBF"/>
    <w:rsid w:val="00E45A5F"/>
    <w:rsid w:val="00E52340"/>
    <w:rsid w:val="00E52F0C"/>
    <w:rsid w:val="00E53611"/>
    <w:rsid w:val="00E5412E"/>
    <w:rsid w:val="00E5578B"/>
    <w:rsid w:val="00E60F1C"/>
    <w:rsid w:val="00E66CB7"/>
    <w:rsid w:val="00E71AA4"/>
    <w:rsid w:val="00E72FAC"/>
    <w:rsid w:val="00E76417"/>
    <w:rsid w:val="00E83075"/>
    <w:rsid w:val="00E83F77"/>
    <w:rsid w:val="00E85096"/>
    <w:rsid w:val="00E852E6"/>
    <w:rsid w:val="00E9196C"/>
    <w:rsid w:val="00E93BC1"/>
    <w:rsid w:val="00E956D9"/>
    <w:rsid w:val="00EA3B87"/>
    <w:rsid w:val="00EA40A1"/>
    <w:rsid w:val="00EA4100"/>
    <w:rsid w:val="00EA52DE"/>
    <w:rsid w:val="00EA7B0D"/>
    <w:rsid w:val="00EB4023"/>
    <w:rsid w:val="00EB4BFC"/>
    <w:rsid w:val="00EB54C4"/>
    <w:rsid w:val="00EC4224"/>
    <w:rsid w:val="00EC4B6C"/>
    <w:rsid w:val="00ED25ED"/>
    <w:rsid w:val="00ED2A25"/>
    <w:rsid w:val="00ED2D29"/>
    <w:rsid w:val="00ED2FFF"/>
    <w:rsid w:val="00ED6D03"/>
    <w:rsid w:val="00EE6384"/>
    <w:rsid w:val="00EE6523"/>
    <w:rsid w:val="00EF3294"/>
    <w:rsid w:val="00EF5331"/>
    <w:rsid w:val="00EF5868"/>
    <w:rsid w:val="00F021B5"/>
    <w:rsid w:val="00F14C2A"/>
    <w:rsid w:val="00F17724"/>
    <w:rsid w:val="00F209F4"/>
    <w:rsid w:val="00F23185"/>
    <w:rsid w:val="00F32794"/>
    <w:rsid w:val="00F33D3F"/>
    <w:rsid w:val="00F454D3"/>
    <w:rsid w:val="00F506B7"/>
    <w:rsid w:val="00F51332"/>
    <w:rsid w:val="00F5365A"/>
    <w:rsid w:val="00F57A24"/>
    <w:rsid w:val="00F63AE5"/>
    <w:rsid w:val="00F67A93"/>
    <w:rsid w:val="00F67C9E"/>
    <w:rsid w:val="00F77CE0"/>
    <w:rsid w:val="00F822BB"/>
    <w:rsid w:val="00F854D5"/>
    <w:rsid w:val="00F94D77"/>
    <w:rsid w:val="00FA0D52"/>
    <w:rsid w:val="00FB2959"/>
    <w:rsid w:val="00FD32BD"/>
    <w:rsid w:val="00FE082F"/>
    <w:rsid w:val="00FE37C6"/>
    <w:rsid w:val="00FE3B09"/>
    <w:rsid w:val="00FE6F53"/>
    <w:rsid w:val="00FE7AE4"/>
    <w:rsid w:val="00FF12D5"/>
    <w:rsid w:val="00FF3141"/>
    <w:rsid w:val="00FF726D"/>
    <w:rsid w:val="00FF756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49B74"/>
  <w15:docId w15:val="{063943B4-BB35-4F43-ABA2-85F2FAF35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606A"/>
    <w:rPr>
      <w:sz w:val="24"/>
      <w:szCs w:val="24"/>
      <w:lang w:val="en-GB" w:eastAsia="en-GB"/>
    </w:rPr>
  </w:style>
  <w:style w:type="paragraph" w:styleId="Heading1">
    <w:name w:val="heading 1"/>
    <w:basedOn w:val="Normal"/>
    <w:next w:val="Normal"/>
    <w:link w:val="Heading1Char"/>
    <w:uiPriority w:val="9"/>
    <w:qFormat/>
    <w:rsid w:val="009F75EF"/>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0858D5"/>
    <w:pPr>
      <w:keepNext/>
      <w:keepLines/>
      <w:numPr>
        <w:ilvl w:val="1"/>
        <w:numId w:val="1"/>
      </w:numPr>
      <w:spacing w:before="360" w:line="259" w:lineRule="auto"/>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unhideWhenUsed/>
    <w:qFormat/>
    <w:rsid w:val="000858D5"/>
    <w:pPr>
      <w:keepNext/>
      <w:keepLines/>
      <w:numPr>
        <w:ilvl w:val="2"/>
        <w:numId w:val="1"/>
      </w:numPr>
      <w:spacing w:before="200" w:line="259" w:lineRule="auto"/>
      <w:outlineLvl w:val="2"/>
    </w:pPr>
    <w:rPr>
      <w:rFonts w:asciiTheme="majorHAnsi" w:eastAsiaTheme="majorEastAsia" w:hAnsiTheme="majorHAnsi" w:cstheme="majorBidi"/>
      <w:b/>
      <w:bCs/>
      <w:color w:val="000000" w:themeColor="text1"/>
      <w:lang w:val="en-US"/>
    </w:rPr>
  </w:style>
  <w:style w:type="paragraph" w:styleId="Heading4">
    <w:name w:val="heading 4"/>
    <w:basedOn w:val="Normal"/>
    <w:next w:val="Normal"/>
    <w:link w:val="Heading4Char"/>
    <w:uiPriority w:val="9"/>
    <w:unhideWhenUsed/>
    <w:qFormat/>
    <w:rsid w:val="000858D5"/>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lang w:val="en-US"/>
    </w:rPr>
  </w:style>
  <w:style w:type="paragraph" w:styleId="Heading5">
    <w:name w:val="heading 5"/>
    <w:basedOn w:val="Normal"/>
    <w:next w:val="Normal"/>
    <w:link w:val="Heading5Char"/>
    <w:uiPriority w:val="9"/>
    <w:unhideWhenUsed/>
    <w:qFormat/>
    <w:rsid w:val="000858D5"/>
    <w:pPr>
      <w:keepNext/>
      <w:keepLines/>
      <w:numPr>
        <w:ilvl w:val="4"/>
        <w:numId w:val="1"/>
      </w:numPr>
      <w:spacing w:before="200" w:line="259" w:lineRule="auto"/>
      <w:outlineLvl w:val="4"/>
    </w:pPr>
    <w:rPr>
      <w:rFonts w:asciiTheme="majorHAnsi" w:eastAsiaTheme="majorEastAsia" w:hAnsiTheme="majorHAnsi" w:cstheme="majorBidi"/>
      <w:color w:val="323E4F" w:themeColor="text2" w:themeShade="BF"/>
      <w:lang w:val="en-US"/>
    </w:rPr>
  </w:style>
  <w:style w:type="paragraph" w:styleId="Heading6">
    <w:name w:val="heading 6"/>
    <w:basedOn w:val="Normal"/>
    <w:next w:val="Normal"/>
    <w:link w:val="Heading6Char"/>
    <w:uiPriority w:val="9"/>
    <w:unhideWhenUsed/>
    <w:qFormat/>
    <w:rsid w:val="000858D5"/>
    <w:pPr>
      <w:keepNext/>
      <w:keepLines/>
      <w:numPr>
        <w:ilvl w:val="5"/>
        <w:numId w:val="1"/>
      </w:numPr>
      <w:spacing w:before="200" w:line="259" w:lineRule="auto"/>
      <w:outlineLvl w:val="5"/>
    </w:pPr>
    <w:rPr>
      <w:rFonts w:asciiTheme="majorHAnsi" w:eastAsiaTheme="majorEastAsia" w:hAnsiTheme="majorHAnsi" w:cstheme="majorBidi"/>
      <w:i/>
      <w:iCs/>
      <w:color w:val="323E4F" w:themeColor="text2" w:themeShade="BF"/>
      <w:lang w:val="en-US"/>
    </w:rPr>
  </w:style>
  <w:style w:type="paragraph" w:styleId="Heading7">
    <w:name w:val="heading 7"/>
    <w:basedOn w:val="Normal"/>
    <w:next w:val="Normal"/>
    <w:link w:val="Heading7Char"/>
    <w:uiPriority w:val="9"/>
    <w:unhideWhenUsed/>
    <w:qFormat/>
    <w:rsid w:val="000858D5"/>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unhideWhenUsed/>
    <w:qFormat/>
    <w:rsid w:val="000858D5"/>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0858D5"/>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rsid w:val="009F75EF"/>
    <w:pPr>
      <w:spacing w:after="240" w:line="360" w:lineRule="auto"/>
      <w:jc w:val="both"/>
    </w:pPr>
    <w:rPr>
      <w:rFonts w:cs="Times New Roman"/>
      <w:bCs w:val="0"/>
      <w:kern w:val="0"/>
      <w:sz w:val="24"/>
    </w:rPr>
  </w:style>
  <w:style w:type="paragraph" w:customStyle="1" w:styleId="Style3">
    <w:name w:val="Style3"/>
    <w:basedOn w:val="Normal"/>
    <w:rsid w:val="00677D3D"/>
    <w:pPr>
      <w:spacing w:after="240"/>
      <w:ind w:left="900" w:hanging="900"/>
    </w:pPr>
    <w:rPr>
      <w:rFonts w:ascii="Arial" w:hAnsi="Arial"/>
      <w:szCs w:val="20"/>
    </w:rPr>
  </w:style>
  <w:style w:type="paragraph" w:styleId="ListParagraph">
    <w:name w:val="List Paragraph"/>
    <w:basedOn w:val="Normal"/>
    <w:link w:val="ListParagraphChar"/>
    <w:uiPriority w:val="34"/>
    <w:qFormat/>
    <w:rsid w:val="000858D5"/>
    <w:pPr>
      <w:ind w:left="720"/>
      <w:contextualSpacing/>
    </w:pPr>
  </w:style>
  <w:style w:type="character" w:customStyle="1" w:styleId="Heading2Char">
    <w:name w:val="Heading 2 Char"/>
    <w:basedOn w:val="DefaultParagraphFont"/>
    <w:link w:val="Heading2"/>
    <w:uiPriority w:val="9"/>
    <w:rsid w:val="000858D5"/>
    <w:rPr>
      <w:rFonts w:asciiTheme="majorHAnsi" w:eastAsiaTheme="majorEastAsia" w:hAnsiTheme="majorHAnsi" w:cstheme="majorBidi"/>
      <w:b/>
      <w:bCs/>
      <w:smallCaps/>
      <w:color w:val="000000" w:themeColor="text1"/>
      <w:sz w:val="28"/>
      <w:szCs w:val="28"/>
      <w:lang w:eastAsia="en-GB"/>
    </w:rPr>
  </w:style>
  <w:style w:type="character" w:customStyle="1" w:styleId="Heading3Char">
    <w:name w:val="Heading 3 Char"/>
    <w:basedOn w:val="DefaultParagraphFont"/>
    <w:link w:val="Heading3"/>
    <w:uiPriority w:val="9"/>
    <w:rsid w:val="000858D5"/>
    <w:rPr>
      <w:rFonts w:asciiTheme="majorHAnsi" w:eastAsiaTheme="majorEastAsia" w:hAnsiTheme="majorHAnsi" w:cstheme="majorBidi"/>
      <w:b/>
      <w:bCs/>
      <w:color w:val="000000" w:themeColor="text1"/>
      <w:sz w:val="24"/>
      <w:szCs w:val="24"/>
      <w:lang w:eastAsia="en-GB"/>
    </w:rPr>
  </w:style>
  <w:style w:type="character" w:customStyle="1" w:styleId="Heading4Char">
    <w:name w:val="Heading 4 Char"/>
    <w:basedOn w:val="DefaultParagraphFont"/>
    <w:link w:val="Heading4"/>
    <w:uiPriority w:val="9"/>
    <w:rsid w:val="000858D5"/>
    <w:rPr>
      <w:rFonts w:asciiTheme="majorHAnsi" w:eastAsiaTheme="majorEastAsia" w:hAnsiTheme="majorHAnsi" w:cstheme="majorBidi"/>
      <w:b/>
      <w:bCs/>
      <w:i/>
      <w:iCs/>
      <w:color w:val="000000" w:themeColor="text1"/>
      <w:sz w:val="24"/>
      <w:szCs w:val="24"/>
      <w:lang w:eastAsia="en-GB"/>
    </w:rPr>
  </w:style>
  <w:style w:type="character" w:customStyle="1" w:styleId="Heading5Char">
    <w:name w:val="Heading 5 Char"/>
    <w:basedOn w:val="DefaultParagraphFont"/>
    <w:link w:val="Heading5"/>
    <w:uiPriority w:val="9"/>
    <w:rsid w:val="000858D5"/>
    <w:rPr>
      <w:rFonts w:asciiTheme="majorHAnsi" w:eastAsiaTheme="majorEastAsia" w:hAnsiTheme="majorHAnsi" w:cstheme="majorBidi"/>
      <w:color w:val="323E4F" w:themeColor="text2" w:themeShade="BF"/>
      <w:sz w:val="24"/>
      <w:szCs w:val="24"/>
      <w:lang w:eastAsia="en-GB"/>
    </w:rPr>
  </w:style>
  <w:style w:type="character" w:customStyle="1" w:styleId="Heading6Char">
    <w:name w:val="Heading 6 Char"/>
    <w:basedOn w:val="DefaultParagraphFont"/>
    <w:link w:val="Heading6"/>
    <w:uiPriority w:val="9"/>
    <w:rsid w:val="000858D5"/>
    <w:rPr>
      <w:rFonts w:asciiTheme="majorHAnsi" w:eastAsiaTheme="majorEastAsia" w:hAnsiTheme="majorHAnsi" w:cstheme="majorBidi"/>
      <w:i/>
      <w:iCs/>
      <w:color w:val="323E4F" w:themeColor="text2" w:themeShade="BF"/>
      <w:sz w:val="24"/>
      <w:szCs w:val="24"/>
      <w:lang w:eastAsia="en-GB"/>
    </w:rPr>
  </w:style>
  <w:style w:type="character" w:customStyle="1" w:styleId="Heading7Char">
    <w:name w:val="Heading 7 Char"/>
    <w:basedOn w:val="DefaultParagraphFont"/>
    <w:link w:val="Heading7"/>
    <w:uiPriority w:val="9"/>
    <w:rsid w:val="000858D5"/>
    <w:rPr>
      <w:rFonts w:asciiTheme="majorHAnsi" w:eastAsiaTheme="majorEastAsia" w:hAnsiTheme="majorHAnsi" w:cstheme="majorBidi"/>
      <w:i/>
      <w:iCs/>
      <w:color w:val="404040" w:themeColor="text1" w:themeTint="BF"/>
      <w:sz w:val="24"/>
      <w:szCs w:val="24"/>
      <w:lang w:eastAsia="en-GB"/>
    </w:rPr>
  </w:style>
  <w:style w:type="character" w:customStyle="1" w:styleId="Heading8Char">
    <w:name w:val="Heading 8 Char"/>
    <w:basedOn w:val="DefaultParagraphFont"/>
    <w:link w:val="Heading8"/>
    <w:uiPriority w:val="9"/>
    <w:rsid w:val="000858D5"/>
    <w:rPr>
      <w:rFonts w:asciiTheme="majorHAnsi" w:eastAsiaTheme="majorEastAsia" w:hAnsiTheme="majorHAnsi" w:cstheme="majorBidi"/>
      <w:color w:val="404040" w:themeColor="text1" w:themeTint="BF"/>
      <w:lang w:eastAsia="en-GB"/>
    </w:rPr>
  </w:style>
  <w:style w:type="character" w:customStyle="1" w:styleId="Heading9Char">
    <w:name w:val="Heading 9 Char"/>
    <w:basedOn w:val="DefaultParagraphFont"/>
    <w:link w:val="Heading9"/>
    <w:uiPriority w:val="9"/>
    <w:rsid w:val="000858D5"/>
    <w:rPr>
      <w:rFonts w:asciiTheme="majorHAnsi" w:eastAsiaTheme="majorEastAsia" w:hAnsiTheme="majorHAnsi" w:cstheme="majorBidi"/>
      <w:i/>
      <w:iCs/>
      <w:color w:val="404040" w:themeColor="text1" w:themeTint="BF"/>
      <w:lang w:eastAsia="en-GB"/>
    </w:rPr>
  </w:style>
  <w:style w:type="paragraph" w:customStyle="1" w:styleId="AStyleStyle2-handbookFirstline0cm">
    <w:name w:val="A Style Style2 - handbook + First line:  0 cm"/>
    <w:basedOn w:val="Normal"/>
    <w:link w:val="AStyleStyle2-handbookFirstline0cmChar"/>
    <w:rsid w:val="000858D5"/>
    <w:pPr>
      <w:spacing w:after="240" w:line="259" w:lineRule="auto"/>
      <w:ind w:left="900"/>
    </w:pPr>
    <w:rPr>
      <w:rFonts w:ascii="Arial" w:eastAsiaTheme="minorEastAsia" w:hAnsi="Arial"/>
      <w:szCs w:val="20"/>
      <w:lang w:val="en-US"/>
    </w:rPr>
  </w:style>
  <w:style w:type="character" w:customStyle="1" w:styleId="AStyleStyle2-handbookFirstline0cmChar">
    <w:name w:val="A Style Style2 - handbook + First line:  0 cm Char"/>
    <w:basedOn w:val="DefaultParagraphFont"/>
    <w:link w:val="AStyleStyle2-handbookFirstline0cm"/>
    <w:rsid w:val="000858D5"/>
    <w:rPr>
      <w:rFonts w:ascii="Arial" w:eastAsiaTheme="minorEastAsia" w:hAnsi="Arial" w:cstheme="minorBidi"/>
      <w:sz w:val="22"/>
    </w:rPr>
  </w:style>
  <w:style w:type="character" w:customStyle="1" w:styleId="Heading1Char">
    <w:name w:val="Heading 1 Char"/>
    <w:basedOn w:val="DefaultParagraphFont"/>
    <w:link w:val="Heading1"/>
    <w:uiPriority w:val="9"/>
    <w:rsid w:val="000858D5"/>
    <w:rPr>
      <w:rFonts w:ascii="Arial" w:hAnsi="Arial" w:cs="Arial"/>
      <w:b/>
      <w:bCs/>
      <w:kern w:val="32"/>
      <w:sz w:val="32"/>
      <w:szCs w:val="32"/>
      <w:lang w:val="en-GB" w:eastAsia="en-GB"/>
    </w:rPr>
  </w:style>
  <w:style w:type="paragraph" w:styleId="TOC1">
    <w:name w:val="toc 1"/>
    <w:basedOn w:val="Normal"/>
    <w:next w:val="Normal"/>
    <w:autoRedefine/>
    <w:uiPriority w:val="39"/>
    <w:rsid w:val="001A437A"/>
    <w:pPr>
      <w:tabs>
        <w:tab w:val="left" w:pos="440"/>
        <w:tab w:val="right" w:pos="8364"/>
      </w:tabs>
      <w:spacing w:before="360"/>
    </w:pPr>
    <w:rPr>
      <w:rFonts w:asciiTheme="majorHAnsi" w:hAnsiTheme="majorHAnsi" w:cstheme="majorHAnsi"/>
      <w:b/>
      <w:bCs/>
      <w:caps/>
    </w:rPr>
  </w:style>
  <w:style w:type="paragraph" w:styleId="TOC2">
    <w:name w:val="toc 2"/>
    <w:basedOn w:val="Normal"/>
    <w:next w:val="Normal"/>
    <w:autoRedefine/>
    <w:uiPriority w:val="39"/>
    <w:rsid w:val="00491C62"/>
    <w:pPr>
      <w:tabs>
        <w:tab w:val="left" w:pos="660"/>
        <w:tab w:val="right" w:pos="8364"/>
      </w:tabs>
      <w:spacing w:before="80"/>
      <w:ind w:right="656"/>
    </w:pPr>
    <w:rPr>
      <w:rFonts w:cstheme="minorHAnsi"/>
      <w:b/>
      <w:bCs/>
      <w:sz w:val="20"/>
      <w:szCs w:val="20"/>
    </w:rPr>
  </w:style>
  <w:style w:type="paragraph" w:styleId="TOC3">
    <w:name w:val="toc 3"/>
    <w:basedOn w:val="Normal"/>
    <w:next w:val="Normal"/>
    <w:autoRedefine/>
    <w:rsid w:val="00D85E4D"/>
    <w:pPr>
      <w:ind w:left="220"/>
    </w:pPr>
    <w:rPr>
      <w:rFonts w:cstheme="minorHAnsi"/>
      <w:sz w:val="20"/>
      <w:szCs w:val="20"/>
    </w:rPr>
  </w:style>
  <w:style w:type="paragraph" w:styleId="TOC4">
    <w:name w:val="toc 4"/>
    <w:basedOn w:val="Normal"/>
    <w:next w:val="Normal"/>
    <w:autoRedefine/>
    <w:rsid w:val="00D85E4D"/>
    <w:pPr>
      <w:ind w:left="440"/>
    </w:pPr>
    <w:rPr>
      <w:rFonts w:cstheme="minorHAnsi"/>
      <w:sz w:val="20"/>
      <w:szCs w:val="20"/>
    </w:rPr>
  </w:style>
  <w:style w:type="paragraph" w:styleId="TOC5">
    <w:name w:val="toc 5"/>
    <w:basedOn w:val="Normal"/>
    <w:next w:val="Normal"/>
    <w:autoRedefine/>
    <w:rsid w:val="00D85E4D"/>
    <w:pPr>
      <w:ind w:left="660"/>
    </w:pPr>
    <w:rPr>
      <w:rFonts w:cstheme="minorHAnsi"/>
      <w:sz w:val="20"/>
      <w:szCs w:val="20"/>
    </w:rPr>
  </w:style>
  <w:style w:type="paragraph" w:styleId="TOC6">
    <w:name w:val="toc 6"/>
    <w:basedOn w:val="Normal"/>
    <w:next w:val="Normal"/>
    <w:autoRedefine/>
    <w:rsid w:val="00D85E4D"/>
    <w:pPr>
      <w:ind w:left="880"/>
    </w:pPr>
    <w:rPr>
      <w:rFonts w:cstheme="minorHAnsi"/>
      <w:sz w:val="20"/>
      <w:szCs w:val="20"/>
    </w:rPr>
  </w:style>
  <w:style w:type="paragraph" w:styleId="TOC7">
    <w:name w:val="toc 7"/>
    <w:basedOn w:val="Normal"/>
    <w:next w:val="Normal"/>
    <w:autoRedefine/>
    <w:rsid w:val="00D85E4D"/>
    <w:pPr>
      <w:ind w:left="1100"/>
    </w:pPr>
    <w:rPr>
      <w:rFonts w:cstheme="minorHAnsi"/>
      <w:sz w:val="20"/>
      <w:szCs w:val="20"/>
    </w:rPr>
  </w:style>
  <w:style w:type="paragraph" w:styleId="TOC8">
    <w:name w:val="toc 8"/>
    <w:basedOn w:val="Normal"/>
    <w:next w:val="Normal"/>
    <w:autoRedefine/>
    <w:rsid w:val="00D85E4D"/>
    <w:pPr>
      <w:ind w:left="1320"/>
    </w:pPr>
    <w:rPr>
      <w:rFonts w:cstheme="minorHAnsi"/>
      <w:sz w:val="20"/>
      <w:szCs w:val="20"/>
    </w:rPr>
  </w:style>
  <w:style w:type="paragraph" w:styleId="TOC9">
    <w:name w:val="toc 9"/>
    <w:basedOn w:val="Normal"/>
    <w:next w:val="Normal"/>
    <w:autoRedefine/>
    <w:rsid w:val="00D85E4D"/>
    <w:pPr>
      <w:ind w:left="1540"/>
    </w:pPr>
    <w:rPr>
      <w:rFonts w:cstheme="minorHAnsi"/>
      <w:sz w:val="20"/>
      <w:szCs w:val="20"/>
    </w:rPr>
  </w:style>
  <w:style w:type="character" w:styleId="Hyperlink">
    <w:name w:val="Hyperlink"/>
    <w:basedOn w:val="DefaultParagraphFont"/>
    <w:uiPriority w:val="99"/>
    <w:unhideWhenUsed/>
    <w:rsid w:val="00D85E4D"/>
    <w:rPr>
      <w:color w:val="0563C1" w:themeColor="hyperlink"/>
      <w:u w:val="single"/>
    </w:rPr>
  </w:style>
  <w:style w:type="paragraph" w:styleId="Header">
    <w:name w:val="header"/>
    <w:basedOn w:val="Normal"/>
    <w:link w:val="HeaderChar"/>
    <w:uiPriority w:val="99"/>
    <w:rsid w:val="00D85E4D"/>
    <w:pPr>
      <w:tabs>
        <w:tab w:val="center" w:pos="4513"/>
        <w:tab w:val="right" w:pos="9026"/>
      </w:tabs>
    </w:pPr>
  </w:style>
  <w:style w:type="character" w:customStyle="1" w:styleId="HeaderChar">
    <w:name w:val="Header Char"/>
    <w:basedOn w:val="DefaultParagraphFont"/>
    <w:link w:val="Header"/>
    <w:uiPriority w:val="99"/>
    <w:rsid w:val="00D85E4D"/>
    <w:rPr>
      <w:rFonts w:asciiTheme="minorHAnsi" w:eastAsiaTheme="minorHAnsi" w:hAnsiTheme="minorHAnsi" w:cstheme="minorBidi"/>
      <w:sz w:val="22"/>
      <w:szCs w:val="22"/>
      <w:lang w:val="en-GB"/>
    </w:rPr>
  </w:style>
  <w:style w:type="paragraph" w:styleId="Footer">
    <w:name w:val="footer"/>
    <w:basedOn w:val="Normal"/>
    <w:link w:val="FooterChar"/>
    <w:uiPriority w:val="99"/>
    <w:rsid w:val="00D85E4D"/>
    <w:pPr>
      <w:tabs>
        <w:tab w:val="center" w:pos="4513"/>
        <w:tab w:val="right" w:pos="9026"/>
      </w:tabs>
    </w:pPr>
  </w:style>
  <w:style w:type="character" w:customStyle="1" w:styleId="FooterChar">
    <w:name w:val="Footer Char"/>
    <w:basedOn w:val="DefaultParagraphFont"/>
    <w:link w:val="Footer"/>
    <w:uiPriority w:val="99"/>
    <w:rsid w:val="00D85E4D"/>
    <w:rPr>
      <w:rFonts w:asciiTheme="minorHAnsi" w:eastAsiaTheme="minorHAnsi" w:hAnsiTheme="minorHAnsi" w:cstheme="minorBidi"/>
      <w:sz w:val="22"/>
      <w:szCs w:val="22"/>
      <w:lang w:val="en-GB"/>
    </w:rPr>
  </w:style>
  <w:style w:type="table" w:styleId="TableGrid">
    <w:name w:val="Table Grid"/>
    <w:basedOn w:val="TableNormal"/>
    <w:uiPriority w:val="39"/>
    <w:rsid w:val="00E32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574ADC"/>
    <w:rPr>
      <w:rFonts w:ascii="Segoe UI" w:hAnsi="Segoe UI" w:cs="Segoe UI"/>
      <w:sz w:val="18"/>
      <w:szCs w:val="18"/>
    </w:rPr>
  </w:style>
  <w:style w:type="character" w:customStyle="1" w:styleId="BalloonTextChar">
    <w:name w:val="Balloon Text Char"/>
    <w:basedOn w:val="DefaultParagraphFont"/>
    <w:link w:val="BalloonText"/>
    <w:semiHidden/>
    <w:rsid w:val="00574ADC"/>
    <w:rPr>
      <w:rFonts w:ascii="Segoe UI" w:eastAsiaTheme="minorHAnsi" w:hAnsi="Segoe UI" w:cs="Segoe UI"/>
      <w:sz w:val="18"/>
      <w:szCs w:val="18"/>
      <w:lang w:val="en-GB"/>
    </w:rPr>
  </w:style>
  <w:style w:type="character" w:styleId="FollowedHyperlink">
    <w:name w:val="FollowedHyperlink"/>
    <w:basedOn w:val="DefaultParagraphFont"/>
    <w:rsid w:val="00675084"/>
    <w:rPr>
      <w:color w:val="954F72" w:themeColor="followedHyperlink"/>
      <w:u w:val="single"/>
    </w:rPr>
  </w:style>
  <w:style w:type="paragraph" w:styleId="FootnoteText">
    <w:name w:val="footnote text"/>
    <w:basedOn w:val="Normal"/>
    <w:link w:val="FootnoteTextChar"/>
    <w:unhideWhenUsed/>
    <w:rsid w:val="00E52340"/>
  </w:style>
  <w:style w:type="character" w:customStyle="1" w:styleId="FootnoteTextChar">
    <w:name w:val="Footnote Text Char"/>
    <w:basedOn w:val="DefaultParagraphFont"/>
    <w:link w:val="FootnoteText"/>
    <w:rsid w:val="00E52340"/>
    <w:rPr>
      <w:rFonts w:asciiTheme="minorHAnsi" w:eastAsiaTheme="minorHAnsi" w:hAnsiTheme="minorHAnsi" w:cstheme="minorBidi"/>
      <w:sz w:val="24"/>
      <w:szCs w:val="24"/>
      <w:lang w:val="en-GB"/>
    </w:rPr>
  </w:style>
  <w:style w:type="character" w:styleId="FootnoteReference">
    <w:name w:val="footnote reference"/>
    <w:basedOn w:val="DefaultParagraphFont"/>
    <w:unhideWhenUsed/>
    <w:rsid w:val="00E52340"/>
    <w:rPr>
      <w:vertAlign w:val="superscript"/>
    </w:rPr>
  </w:style>
  <w:style w:type="paragraph" w:customStyle="1" w:styleId="Default">
    <w:name w:val="Default"/>
    <w:rsid w:val="00366CEC"/>
    <w:pPr>
      <w:autoSpaceDE w:val="0"/>
      <w:autoSpaceDN w:val="0"/>
      <w:adjustRightInd w:val="0"/>
    </w:pPr>
    <w:rPr>
      <w:rFonts w:ascii="Arial" w:eastAsia="Calibri" w:hAnsi="Arial" w:cs="Arial"/>
      <w:color w:val="000000"/>
      <w:sz w:val="24"/>
      <w:szCs w:val="24"/>
      <w:lang w:val="en-GB" w:eastAsia="en-GB"/>
    </w:rPr>
  </w:style>
  <w:style w:type="paragraph" w:styleId="NormalWeb">
    <w:name w:val="Normal (Web)"/>
    <w:basedOn w:val="Normal"/>
    <w:uiPriority w:val="99"/>
    <w:unhideWhenUsed/>
    <w:rsid w:val="00B53D92"/>
    <w:pPr>
      <w:spacing w:before="100" w:beforeAutospacing="1" w:after="100" w:afterAutospacing="1"/>
    </w:pPr>
  </w:style>
  <w:style w:type="character" w:customStyle="1" w:styleId="UnresolvedMention1">
    <w:name w:val="Unresolved Mention1"/>
    <w:basedOn w:val="DefaultParagraphFont"/>
    <w:rsid w:val="00163384"/>
    <w:rPr>
      <w:color w:val="808080"/>
      <w:shd w:val="clear" w:color="auto" w:fill="E6E6E6"/>
    </w:rPr>
  </w:style>
  <w:style w:type="character" w:customStyle="1" w:styleId="UnresolvedMention2">
    <w:name w:val="Unresolved Mention2"/>
    <w:basedOn w:val="DefaultParagraphFont"/>
    <w:uiPriority w:val="99"/>
    <w:semiHidden/>
    <w:unhideWhenUsed/>
    <w:rsid w:val="00884F9C"/>
    <w:rPr>
      <w:color w:val="605E5C"/>
      <w:shd w:val="clear" w:color="auto" w:fill="E1DFDD"/>
    </w:rPr>
  </w:style>
  <w:style w:type="character" w:styleId="Strong">
    <w:name w:val="Strong"/>
    <w:basedOn w:val="DefaultParagraphFont"/>
    <w:uiPriority w:val="22"/>
    <w:qFormat/>
    <w:rsid w:val="00A57DBD"/>
    <w:rPr>
      <w:b/>
      <w:bCs/>
    </w:rPr>
  </w:style>
  <w:style w:type="character" w:customStyle="1" w:styleId="UnresolvedMention3">
    <w:name w:val="Unresolved Mention3"/>
    <w:basedOn w:val="DefaultParagraphFont"/>
    <w:uiPriority w:val="99"/>
    <w:semiHidden/>
    <w:unhideWhenUsed/>
    <w:rsid w:val="00EE6384"/>
    <w:rPr>
      <w:color w:val="605E5C"/>
      <w:shd w:val="clear" w:color="auto" w:fill="E1DFDD"/>
    </w:rPr>
  </w:style>
  <w:style w:type="character" w:styleId="CommentReference">
    <w:name w:val="annotation reference"/>
    <w:basedOn w:val="DefaultParagraphFont"/>
    <w:uiPriority w:val="99"/>
    <w:semiHidden/>
    <w:unhideWhenUsed/>
    <w:rsid w:val="006B5623"/>
    <w:rPr>
      <w:sz w:val="16"/>
      <w:szCs w:val="16"/>
    </w:rPr>
  </w:style>
  <w:style w:type="paragraph" w:styleId="CommentText">
    <w:name w:val="annotation text"/>
    <w:basedOn w:val="Normal"/>
    <w:link w:val="CommentTextChar"/>
    <w:unhideWhenUsed/>
    <w:rsid w:val="006B5623"/>
    <w:rPr>
      <w:sz w:val="20"/>
      <w:szCs w:val="20"/>
    </w:rPr>
  </w:style>
  <w:style w:type="character" w:customStyle="1" w:styleId="CommentTextChar">
    <w:name w:val="Comment Text Char"/>
    <w:basedOn w:val="DefaultParagraphFont"/>
    <w:link w:val="CommentText"/>
    <w:rsid w:val="006B5623"/>
    <w:rPr>
      <w:rFonts w:asciiTheme="minorHAnsi" w:eastAsiaTheme="minorHAnsi" w:hAnsiTheme="minorHAnsi" w:cstheme="minorBidi"/>
      <w:lang w:val="en-GB"/>
    </w:rPr>
  </w:style>
  <w:style w:type="character" w:customStyle="1" w:styleId="UnresolvedMention4">
    <w:name w:val="Unresolved Mention4"/>
    <w:basedOn w:val="DefaultParagraphFont"/>
    <w:rsid w:val="006B5623"/>
    <w:rPr>
      <w:color w:val="605E5C"/>
      <w:shd w:val="clear" w:color="auto" w:fill="E1DFDD"/>
    </w:rPr>
  </w:style>
  <w:style w:type="paragraph" w:styleId="Revision">
    <w:name w:val="Revision"/>
    <w:hidden/>
    <w:uiPriority w:val="99"/>
    <w:semiHidden/>
    <w:rsid w:val="00554130"/>
    <w:rPr>
      <w:rFonts w:asciiTheme="minorHAnsi" w:eastAsiaTheme="minorHAnsi" w:hAnsiTheme="minorHAnsi" w:cstheme="minorBidi"/>
      <w:sz w:val="22"/>
      <w:szCs w:val="22"/>
      <w:lang w:val="en-GB"/>
    </w:rPr>
  </w:style>
  <w:style w:type="paragraph" w:styleId="CommentSubject">
    <w:name w:val="annotation subject"/>
    <w:basedOn w:val="CommentText"/>
    <w:next w:val="CommentText"/>
    <w:link w:val="CommentSubjectChar"/>
    <w:semiHidden/>
    <w:unhideWhenUsed/>
    <w:rsid w:val="008A4E22"/>
    <w:rPr>
      <w:b/>
      <w:bCs/>
    </w:rPr>
  </w:style>
  <w:style w:type="character" w:customStyle="1" w:styleId="CommentSubjectChar">
    <w:name w:val="Comment Subject Char"/>
    <w:basedOn w:val="CommentTextChar"/>
    <w:link w:val="CommentSubject"/>
    <w:semiHidden/>
    <w:rsid w:val="008A4E22"/>
    <w:rPr>
      <w:rFonts w:asciiTheme="minorHAnsi" w:eastAsiaTheme="minorHAnsi" w:hAnsiTheme="minorHAnsi" w:cstheme="minorBidi"/>
      <w:b/>
      <w:bCs/>
      <w:lang w:val="en-GB"/>
    </w:rPr>
  </w:style>
  <w:style w:type="character" w:customStyle="1" w:styleId="UnresolvedMention5">
    <w:name w:val="Unresolved Mention5"/>
    <w:basedOn w:val="DefaultParagraphFont"/>
    <w:uiPriority w:val="99"/>
    <w:semiHidden/>
    <w:unhideWhenUsed/>
    <w:rsid w:val="00A72123"/>
    <w:rPr>
      <w:color w:val="605E5C"/>
      <w:shd w:val="clear" w:color="auto" w:fill="E1DFDD"/>
    </w:rPr>
  </w:style>
  <w:style w:type="character" w:styleId="UnresolvedMention">
    <w:name w:val="Unresolved Mention"/>
    <w:basedOn w:val="DefaultParagraphFont"/>
    <w:uiPriority w:val="99"/>
    <w:semiHidden/>
    <w:unhideWhenUsed/>
    <w:rsid w:val="002746F3"/>
    <w:rPr>
      <w:color w:val="605E5C"/>
      <w:shd w:val="clear" w:color="auto" w:fill="E1DFDD"/>
    </w:rPr>
  </w:style>
  <w:style w:type="character" w:customStyle="1" w:styleId="apple-converted-space">
    <w:name w:val="apple-converted-space"/>
    <w:basedOn w:val="DefaultParagraphFont"/>
    <w:rsid w:val="000B3B57"/>
  </w:style>
  <w:style w:type="character" w:customStyle="1" w:styleId="ListParagraphChar">
    <w:name w:val="List Paragraph Char"/>
    <w:basedOn w:val="DefaultParagraphFont"/>
    <w:link w:val="ListParagraph"/>
    <w:uiPriority w:val="34"/>
    <w:rsid w:val="005F2583"/>
    <w:rPr>
      <w:sz w:val="24"/>
      <w:szCs w:val="24"/>
      <w:lang w:val="en-GB" w:eastAsia="en-GB"/>
    </w:rPr>
  </w:style>
  <w:style w:type="paragraph" w:styleId="NoSpacing">
    <w:name w:val="No Spacing"/>
    <w:link w:val="NoSpacingChar"/>
    <w:uiPriority w:val="1"/>
    <w:qFormat/>
    <w:rsid w:val="00E956D9"/>
    <w:rPr>
      <w:rFonts w:asciiTheme="minorHAnsi" w:eastAsiaTheme="minorHAnsi" w:hAnsiTheme="minorHAnsi" w:cstheme="minorBidi"/>
      <w:sz w:val="22"/>
      <w:szCs w:val="22"/>
      <w:lang w:val="en-GB"/>
    </w:rPr>
  </w:style>
  <w:style w:type="character" w:customStyle="1" w:styleId="NoSpacingChar">
    <w:name w:val="No Spacing Char"/>
    <w:basedOn w:val="DefaultParagraphFont"/>
    <w:link w:val="NoSpacing"/>
    <w:uiPriority w:val="1"/>
    <w:rsid w:val="00E956D9"/>
    <w:rPr>
      <w:rFonts w:asciiTheme="minorHAnsi" w:eastAsiaTheme="minorHAnsi" w:hAnsiTheme="minorHAnsi" w:cstheme="minorBidi"/>
      <w:sz w:val="22"/>
      <w:szCs w:val="22"/>
      <w:lang w:val="en-GB"/>
    </w:rPr>
  </w:style>
  <w:style w:type="paragraph" w:styleId="PlainText">
    <w:name w:val="Plain Text"/>
    <w:basedOn w:val="Normal"/>
    <w:link w:val="PlainTextChar"/>
    <w:uiPriority w:val="99"/>
    <w:semiHidden/>
    <w:unhideWhenUsed/>
    <w:rsid w:val="00C131D4"/>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C131D4"/>
    <w:rPr>
      <w:rFonts w:ascii="Calibri" w:eastAsiaTheme="minorHAnsi" w:hAnsi="Calibri" w:cstheme="minorBidi"/>
      <w:sz w:val="22"/>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659483">
      <w:bodyDiv w:val="1"/>
      <w:marLeft w:val="0"/>
      <w:marRight w:val="0"/>
      <w:marTop w:val="0"/>
      <w:marBottom w:val="0"/>
      <w:divBdr>
        <w:top w:val="none" w:sz="0" w:space="0" w:color="auto"/>
        <w:left w:val="none" w:sz="0" w:space="0" w:color="auto"/>
        <w:bottom w:val="none" w:sz="0" w:space="0" w:color="auto"/>
        <w:right w:val="none" w:sz="0" w:space="0" w:color="auto"/>
      </w:divBdr>
    </w:div>
    <w:div w:id="139277108">
      <w:bodyDiv w:val="1"/>
      <w:marLeft w:val="0"/>
      <w:marRight w:val="0"/>
      <w:marTop w:val="0"/>
      <w:marBottom w:val="0"/>
      <w:divBdr>
        <w:top w:val="none" w:sz="0" w:space="0" w:color="auto"/>
        <w:left w:val="none" w:sz="0" w:space="0" w:color="auto"/>
        <w:bottom w:val="none" w:sz="0" w:space="0" w:color="auto"/>
        <w:right w:val="none" w:sz="0" w:space="0" w:color="auto"/>
      </w:divBdr>
    </w:div>
    <w:div w:id="462507874">
      <w:bodyDiv w:val="1"/>
      <w:marLeft w:val="0"/>
      <w:marRight w:val="0"/>
      <w:marTop w:val="0"/>
      <w:marBottom w:val="0"/>
      <w:divBdr>
        <w:top w:val="none" w:sz="0" w:space="0" w:color="auto"/>
        <w:left w:val="none" w:sz="0" w:space="0" w:color="auto"/>
        <w:bottom w:val="none" w:sz="0" w:space="0" w:color="auto"/>
        <w:right w:val="none" w:sz="0" w:space="0" w:color="auto"/>
      </w:divBdr>
    </w:div>
    <w:div w:id="464859461">
      <w:bodyDiv w:val="1"/>
      <w:marLeft w:val="0"/>
      <w:marRight w:val="0"/>
      <w:marTop w:val="0"/>
      <w:marBottom w:val="0"/>
      <w:divBdr>
        <w:top w:val="none" w:sz="0" w:space="0" w:color="auto"/>
        <w:left w:val="none" w:sz="0" w:space="0" w:color="auto"/>
        <w:bottom w:val="none" w:sz="0" w:space="0" w:color="auto"/>
        <w:right w:val="none" w:sz="0" w:space="0" w:color="auto"/>
      </w:divBdr>
    </w:div>
    <w:div w:id="506095347">
      <w:bodyDiv w:val="1"/>
      <w:marLeft w:val="0"/>
      <w:marRight w:val="0"/>
      <w:marTop w:val="0"/>
      <w:marBottom w:val="0"/>
      <w:divBdr>
        <w:top w:val="none" w:sz="0" w:space="0" w:color="auto"/>
        <w:left w:val="none" w:sz="0" w:space="0" w:color="auto"/>
        <w:bottom w:val="none" w:sz="0" w:space="0" w:color="auto"/>
        <w:right w:val="none" w:sz="0" w:space="0" w:color="auto"/>
      </w:divBdr>
    </w:div>
    <w:div w:id="540554555">
      <w:bodyDiv w:val="1"/>
      <w:marLeft w:val="0"/>
      <w:marRight w:val="0"/>
      <w:marTop w:val="0"/>
      <w:marBottom w:val="0"/>
      <w:divBdr>
        <w:top w:val="none" w:sz="0" w:space="0" w:color="auto"/>
        <w:left w:val="none" w:sz="0" w:space="0" w:color="auto"/>
        <w:bottom w:val="none" w:sz="0" w:space="0" w:color="auto"/>
        <w:right w:val="none" w:sz="0" w:space="0" w:color="auto"/>
      </w:divBdr>
    </w:div>
    <w:div w:id="590503505">
      <w:bodyDiv w:val="1"/>
      <w:marLeft w:val="0"/>
      <w:marRight w:val="0"/>
      <w:marTop w:val="0"/>
      <w:marBottom w:val="0"/>
      <w:divBdr>
        <w:top w:val="none" w:sz="0" w:space="0" w:color="auto"/>
        <w:left w:val="none" w:sz="0" w:space="0" w:color="auto"/>
        <w:bottom w:val="none" w:sz="0" w:space="0" w:color="auto"/>
        <w:right w:val="none" w:sz="0" w:space="0" w:color="auto"/>
      </w:divBdr>
    </w:div>
    <w:div w:id="829179656">
      <w:bodyDiv w:val="1"/>
      <w:marLeft w:val="0"/>
      <w:marRight w:val="0"/>
      <w:marTop w:val="0"/>
      <w:marBottom w:val="0"/>
      <w:divBdr>
        <w:top w:val="none" w:sz="0" w:space="0" w:color="auto"/>
        <w:left w:val="none" w:sz="0" w:space="0" w:color="auto"/>
        <w:bottom w:val="none" w:sz="0" w:space="0" w:color="auto"/>
        <w:right w:val="none" w:sz="0" w:space="0" w:color="auto"/>
      </w:divBdr>
    </w:div>
    <w:div w:id="859705774">
      <w:bodyDiv w:val="1"/>
      <w:marLeft w:val="0"/>
      <w:marRight w:val="0"/>
      <w:marTop w:val="0"/>
      <w:marBottom w:val="0"/>
      <w:divBdr>
        <w:top w:val="none" w:sz="0" w:space="0" w:color="auto"/>
        <w:left w:val="none" w:sz="0" w:space="0" w:color="auto"/>
        <w:bottom w:val="none" w:sz="0" w:space="0" w:color="auto"/>
        <w:right w:val="none" w:sz="0" w:space="0" w:color="auto"/>
      </w:divBdr>
    </w:div>
    <w:div w:id="874463115">
      <w:bodyDiv w:val="1"/>
      <w:marLeft w:val="0"/>
      <w:marRight w:val="0"/>
      <w:marTop w:val="0"/>
      <w:marBottom w:val="0"/>
      <w:divBdr>
        <w:top w:val="none" w:sz="0" w:space="0" w:color="auto"/>
        <w:left w:val="none" w:sz="0" w:space="0" w:color="auto"/>
        <w:bottom w:val="none" w:sz="0" w:space="0" w:color="auto"/>
        <w:right w:val="none" w:sz="0" w:space="0" w:color="auto"/>
      </w:divBdr>
    </w:div>
    <w:div w:id="932056619">
      <w:bodyDiv w:val="1"/>
      <w:marLeft w:val="0"/>
      <w:marRight w:val="0"/>
      <w:marTop w:val="0"/>
      <w:marBottom w:val="0"/>
      <w:divBdr>
        <w:top w:val="none" w:sz="0" w:space="0" w:color="auto"/>
        <w:left w:val="none" w:sz="0" w:space="0" w:color="auto"/>
        <w:bottom w:val="none" w:sz="0" w:space="0" w:color="auto"/>
        <w:right w:val="none" w:sz="0" w:space="0" w:color="auto"/>
      </w:divBdr>
    </w:div>
    <w:div w:id="932395372">
      <w:bodyDiv w:val="1"/>
      <w:marLeft w:val="0"/>
      <w:marRight w:val="0"/>
      <w:marTop w:val="0"/>
      <w:marBottom w:val="0"/>
      <w:divBdr>
        <w:top w:val="none" w:sz="0" w:space="0" w:color="auto"/>
        <w:left w:val="none" w:sz="0" w:space="0" w:color="auto"/>
        <w:bottom w:val="none" w:sz="0" w:space="0" w:color="auto"/>
        <w:right w:val="none" w:sz="0" w:space="0" w:color="auto"/>
      </w:divBdr>
    </w:div>
    <w:div w:id="1179195496">
      <w:bodyDiv w:val="1"/>
      <w:marLeft w:val="0"/>
      <w:marRight w:val="0"/>
      <w:marTop w:val="0"/>
      <w:marBottom w:val="0"/>
      <w:divBdr>
        <w:top w:val="none" w:sz="0" w:space="0" w:color="auto"/>
        <w:left w:val="none" w:sz="0" w:space="0" w:color="auto"/>
        <w:bottom w:val="none" w:sz="0" w:space="0" w:color="auto"/>
        <w:right w:val="none" w:sz="0" w:space="0" w:color="auto"/>
      </w:divBdr>
    </w:div>
    <w:div w:id="1312755835">
      <w:bodyDiv w:val="1"/>
      <w:marLeft w:val="0"/>
      <w:marRight w:val="0"/>
      <w:marTop w:val="0"/>
      <w:marBottom w:val="0"/>
      <w:divBdr>
        <w:top w:val="none" w:sz="0" w:space="0" w:color="auto"/>
        <w:left w:val="none" w:sz="0" w:space="0" w:color="auto"/>
        <w:bottom w:val="none" w:sz="0" w:space="0" w:color="auto"/>
        <w:right w:val="none" w:sz="0" w:space="0" w:color="auto"/>
      </w:divBdr>
    </w:div>
    <w:div w:id="1476219235">
      <w:bodyDiv w:val="1"/>
      <w:marLeft w:val="0"/>
      <w:marRight w:val="0"/>
      <w:marTop w:val="0"/>
      <w:marBottom w:val="0"/>
      <w:divBdr>
        <w:top w:val="none" w:sz="0" w:space="0" w:color="auto"/>
        <w:left w:val="none" w:sz="0" w:space="0" w:color="auto"/>
        <w:bottom w:val="none" w:sz="0" w:space="0" w:color="auto"/>
        <w:right w:val="none" w:sz="0" w:space="0" w:color="auto"/>
      </w:divBdr>
    </w:div>
    <w:div w:id="1533960341">
      <w:bodyDiv w:val="1"/>
      <w:marLeft w:val="0"/>
      <w:marRight w:val="0"/>
      <w:marTop w:val="0"/>
      <w:marBottom w:val="0"/>
      <w:divBdr>
        <w:top w:val="none" w:sz="0" w:space="0" w:color="auto"/>
        <w:left w:val="none" w:sz="0" w:space="0" w:color="auto"/>
        <w:bottom w:val="none" w:sz="0" w:space="0" w:color="auto"/>
        <w:right w:val="none" w:sz="0" w:space="0" w:color="auto"/>
      </w:divBdr>
    </w:div>
    <w:div w:id="1660694525">
      <w:bodyDiv w:val="1"/>
      <w:marLeft w:val="0"/>
      <w:marRight w:val="0"/>
      <w:marTop w:val="0"/>
      <w:marBottom w:val="0"/>
      <w:divBdr>
        <w:top w:val="none" w:sz="0" w:space="0" w:color="auto"/>
        <w:left w:val="none" w:sz="0" w:space="0" w:color="auto"/>
        <w:bottom w:val="none" w:sz="0" w:space="0" w:color="auto"/>
        <w:right w:val="none" w:sz="0" w:space="0" w:color="auto"/>
      </w:divBdr>
      <w:divsChild>
        <w:div w:id="463810753">
          <w:marLeft w:val="0"/>
          <w:marRight w:val="0"/>
          <w:marTop w:val="0"/>
          <w:marBottom w:val="0"/>
          <w:divBdr>
            <w:top w:val="none" w:sz="0" w:space="0" w:color="auto"/>
            <w:left w:val="none" w:sz="0" w:space="0" w:color="auto"/>
            <w:bottom w:val="none" w:sz="0" w:space="0" w:color="auto"/>
            <w:right w:val="none" w:sz="0" w:space="0" w:color="auto"/>
          </w:divBdr>
          <w:divsChild>
            <w:div w:id="801965190">
              <w:marLeft w:val="0"/>
              <w:marRight w:val="0"/>
              <w:marTop w:val="0"/>
              <w:marBottom w:val="0"/>
              <w:divBdr>
                <w:top w:val="none" w:sz="0" w:space="0" w:color="auto"/>
                <w:left w:val="none" w:sz="0" w:space="0" w:color="auto"/>
                <w:bottom w:val="none" w:sz="0" w:space="0" w:color="auto"/>
                <w:right w:val="none" w:sz="0" w:space="0" w:color="auto"/>
              </w:divBdr>
              <w:divsChild>
                <w:div w:id="974683209">
                  <w:marLeft w:val="0"/>
                  <w:marRight w:val="0"/>
                  <w:marTop w:val="0"/>
                  <w:marBottom w:val="0"/>
                  <w:divBdr>
                    <w:top w:val="none" w:sz="0" w:space="0" w:color="auto"/>
                    <w:left w:val="none" w:sz="0" w:space="0" w:color="auto"/>
                    <w:bottom w:val="none" w:sz="0" w:space="0" w:color="auto"/>
                    <w:right w:val="none" w:sz="0" w:space="0" w:color="auto"/>
                  </w:divBdr>
                  <w:divsChild>
                    <w:div w:id="278876400">
                      <w:marLeft w:val="0"/>
                      <w:marRight w:val="0"/>
                      <w:marTop w:val="0"/>
                      <w:marBottom w:val="0"/>
                      <w:divBdr>
                        <w:top w:val="none" w:sz="0" w:space="0" w:color="auto"/>
                        <w:left w:val="none" w:sz="0" w:space="0" w:color="auto"/>
                        <w:bottom w:val="none" w:sz="0" w:space="0" w:color="auto"/>
                        <w:right w:val="none" w:sz="0" w:space="0" w:color="auto"/>
                      </w:divBdr>
                    </w:div>
                    <w:div w:id="120941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964799">
      <w:bodyDiv w:val="1"/>
      <w:marLeft w:val="0"/>
      <w:marRight w:val="0"/>
      <w:marTop w:val="0"/>
      <w:marBottom w:val="0"/>
      <w:divBdr>
        <w:top w:val="none" w:sz="0" w:space="0" w:color="auto"/>
        <w:left w:val="none" w:sz="0" w:space="0" w:color="auto"/>
        <w:bottom w:val="none" w:sz="0" w:space="0" w:color="auto"/>
        <w:right w:val="none" w:sz="0" w:space="0" w:color="auto"/>
      </w:divBdr>
    </w:div>
    <w:div w:id="1806199885">
      <w:bodyDiv w:val="1"/>
      <w:marLeft w:val="0"/>
      <w:marRight w:val="0"/>
      <w:marTop w:val="0"/>
      <w:marBottom w:val="0"/>
      <w:divBdr>
        <w:top w:val="none" w:sz="0" w:space="0" w:color="auto"/>
        <w:left w:val="none" w:sz="0" w:space="0" w:color="auto"/>
        <w:bottom w:val="none" w:sz="0" w:space="0" w:color="auto"/>
        <w:right w:val="none" w:sz="0" w:space="0" w:color="auto"/>
      </w:divBdr>
    </w:div>
    <w:div w:id="1929077528">
      <w:bodyDiv w:val="1"/>
      <w:marLeft w:val="0"/>
      <w:marRight w:val="0"/>
      <w:marTop w:val="0"/>
      <w:marBottom w:val="0"/>
      <w:divBdr>
        <w:top w:val="none" w:sz="0" w:space="0" w:color="auto"/>
        <w:left w:val="none" w:sz="0" w:space="0" w:color="auto"/>
        <w:bottom w:val="none" w:sz="0" w:space="0" w:color="auto"/>
        <w:right w:val="none" w:sz="0" w:space="0" w:color="auto"/>
      </w:divBdr>
    </w:div>
    <w:div w:id="2009598172">
      <w:bodyDiv w:val="1"/>
      <w:marLeft w:val="0"/>
      <w:marRight w:val="0"/>
      <w:marTop w:val="0"/>
      <w:marBottom w:val="0"/>
      <w:divBdr>
        <w:top w:val="none" w:sz="0" w:space="0" w:color="auto"/>
        <w:left w:val="none" w:sz="0" w:space="0" w:color="auto"/>
        <w:bottom w:val="none" w:sz="0" w:space="0" w:color="auto"/>
        <w:right w:val="none" w:sz="0" w:space="0" w:color="auto"/>
      </w:divBdr>
    </w:div>
    <w:div w:id="2069451198">
      <w:bodyDiv w:val="1"/>
      <w:marLeft w:val="0"/>
      <w:marRight w:val="0"/>
      <w:marTop w:val="0"/>
      <w:marBottom w:val="0"/>
      <w:divBdr>
        <w:top w:val="none" w:sz="0" w:space="0" w:color="auto"/>
        <w:left w:val="none" w:sz="0" w:space="0" w:color="auto"/>
        <w:bottom w:val="none" w:sz="0" w:space="0" w:color="auto"/>
        <w:right w:val="none" w:sz="0" w:space="0" w:color="auto"/>
      </w:divBdr>
    </w:div>
    <w:div w:id="2092696270">
      <w:bodyDiv w:val="1"/>
      <w:marLeft w:val="0"/>
      <w:marRight w:val="0"/>
      <w:marTop w:val="0"/>
      <w:marBottom w:val="0"/>
      <w:divBdr>
        <w:top w:val="none" w:sz="0" w:space="0" w:color="auto"/>
        <w:left w:val="none" w:sz="0" w:space="0" w:color="auto"/>
        <w:bottom w:val="none" w:sz="0" w:space="0" w:color="auto"/>
        <w:right w:val="none" w:sz="0" w:space="0" w:color="auto"/>
      </w:divBdr>
    </w:div>
    <w:div w:id="21345889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mc-uk.org/ethical-guidance/ethical-guidance-for-doctors/confidentiality" TargetMode="External"/><Relationship Id="rId13" Type="http://schemas.openxmlformats.org/officeDocument/2006/relationships/hyperlink" Target="https://www.legislation.gov.uk/ukpga/2010/15/contents" TargetMode="External"/><Relationship Id="rId18" Type="http://schemas.openxmlformats.org/officeDocument/2006/relationships/hyperlink" Target="https://www.legislation.gov.uk/ukpga/2006/41/contents" TargetMode="External"/><Relationship Id="rId26" Type="http://schemas.openxmlformats.org/officeDocument/2006/relationships/hyperlink" Target="https://www.cqc.org.uk/guidance-regulation/providers/notifications" TargetMode="External"/><Relationship Id="rId3" Type="http://schemas.openxmlformats.org/officeDocument/2006/relationships/styles" Target="styles.xml"/><Relationship Id="rId21" Type="http://schemas.openxmlformats.org/officeDocument/2006/relationships/hyperlink" Target="https://www.gmc-uk.org/ethical-guidance/ethical-guidance-for-doctors/confidentiality/disclosures-for-the-protection-of-patients-and-others" TargetMode="External"/><Relationship Id="rId7" Type="http://schemas.openxmlformats.org/officeDocument/2006/relationships/endnotes" Target="endnotes.xml"/><Relationship Id="rId12" Type="http://schemas.openxmlformats.org/officeDocument/2006/relationships/hyperlink" Target="https://hub.practiceindex.co.uk/login" TargetMode="External"/><Relationship Id="rId17" Type="http://schemas.openxmlformats.org/officeDocument/2006/relationships/footer" Target="footer2.xml"/><Relationship Id="rId25" Type="http://schemas.openxmlformats.org/officeDocument/2006/relationships/hyperlink" Target="https://www.legislation.gov.uk/uksi/1974/29/made"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s://www.gmc-uk.org/ethical-guidance/ethical-guidance-for-doctors/confidentiality/using-and-disclosing-patient-information-for-direct-car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www.gmc-uk.org/professional-standards/professional-standards-for-doctors/confidentiality---disclosing-information-about-serious-communicable-diseases/disclosing-information-about-serious-communicable-diseases"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www.gmc-uk.org/professional-standards/professional-standards-for-doctors/good-medical-practice/domain-3-colleagues-culture-and-safety" TargetMode="External"/><Relationship Id="rId28" Type="http://schemas.openxmlformats.org/officeDocument/2006/relationships/hyperlink" Target="https://www.gov.uk/government/publications/dwp-factual-medical-reports-guidance-for-healthcare-professionals" TargetMode="External"/><Relationship Id="rId10" Type="http://schemas.openxmlformats.org/officeDocument/2006/relationships/hyperlink" Target="https://hub.practiceindex.co.uk/" TargetMode="External"/><Relationship Id="rId19" Type="http://schemas.openxmlformats.org/officeDocument/2006/relationships/hyperlink" Target="https://www.legislation.gov.uk/ukpga/2006/41/contents" TargetMode="External"/><Relationship Id="rId4" Type="http://schemas.openxmlformats.org/officeDocument/2006/relationships/settings" Target="settings.xml"/><Relationship Id="rId9" Type="http://schemas.openxmlformats.org/officeDocument/2006/relationships/hyperlink" Target="https://www.gmc-uk.org/-/media/documents/Raising_and_acting_on_concerns_about_patient_safety___English_0617.pdf_48902813.pdf" TargetMode="External"/><Relationship Id="rId14" Type="http://schemas.openxmlformats.org/officeDocument/2006/relationships/header" Target="header1.xml"/><Relationship Id="rId22" Type="http://schemas.openxmlformats.org/officeDocument/2006/relationships/hyperlink" Target="https://www.gmc-uk.org/-/media/documents/gmc-guidance-for-doctors---confidentiality---reporting-gunshot-and-knife-wounds_pdf-70063779.pdf" TargetMode="External"/><Relationship Id="rId27" Type="http://schemas.openxmlformats.org/officeDocument/2006/relationships/hyperlink" Target="https://www.gov.uk/guidance/assessing-fitness-to-drive-a-guide-for-medical-professionals"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E46D8-EA48-42C1-8945-2B9D04191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21</Pages>
  <Words>6573</Words>
  <Characters>37469</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43955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Index Ltd</dc:creator>
  <dc:description>Copyright Practice Index Ltd ©</dc:description>
  <cp:lastModifiedBy>PONDER, Jill (GREENHEAD FAMILY DOCTORS)</cp:lastModifiedBy>
  <cp:revision>3</cp:revision>
  <cp:lastPrinted>2017-09-20T11:53:00Z</cp:lastPrinted>
  <dcterms:created xsi:type="dcterms:W3CDTF">2025-04-24T14:49:00Z</dcterms:created>
  <dcterms:modified xsi:type="dcterms:W3CDTF">2025-04-24T14:49:00Z</dcterms:modified>
</cp:coreProperties>
</file>